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CFF" w:rsidRPr="00742CFF" w:rsidRDefault="00742CFF" w:rsidP="00742CFF">
      <w:pPr>
        <w:rPr>
          <w:rFonts w:ascii="Times New Roman" w:eastAsia="宋体" w:hAnsi="Times New Roman" w:cs="Times New Roman"/>
          <w:szCs w:val="24"/>
        </w:rPr>
      </w:pPr>
    </w:p>
    <w:tbl>
      <w:tblPr>
        <w:tblW w:w="5000" w:type="pct"/>
        <w:tblCellSpacing w:w="0" w:type="dxa"/>
        <w:tblCellMar>
          <w:left w:w="0" w:type="dxa"/>
          <w:right w:w="0" w:type="dxa"/>
        </w:tblCellMar>
        <w:tblLook w:val="04A0" w:firstRow="1" w:lastRow="0" w:firstColumn="1" w:lastColumn="0" w:noHBand="0" w:noVBand="1"/>
      </w:tblPr>
      <w:tblGrid>
        <w:gridCol w:w="8306"/>
      </w:tblGrid>
      <w:tr w:rsidR="00BB01D1" w:rsidRPr="00BB01D1" w:rsidTr="00BB01D1">
        <w:trPr>
          <w:trHeight w:val="750"/>
          <w:tblCellSpacing w:w="0" w:type="dxa"/>
        </w:trPr>
        <w:tc>
          <w:tcPr>
            <w:tcW w:w="0" w:type="auto"/>
            <w:tcMar>
              <w:top w:w="225" w:type="dxa"/>
              <w:left w:w="225" w:type="dxa"/>
              <w:bottom w:w="225" w:type="dxa"/>
              <w:right w:w="225" w:type="dxa"/>
            </w:tcMar>
            <w:vAlign w:val="center"/>
            <w:hideMark/>
          </w:tcPr>
          <w:p w:rsidR="00BB01D1" w:rsidRPr="00BB01D1" w:rsidRDefault="00BB01D1" w:rsidP="00BB01D1">
            <w:pPr>
              <w:widowControl/>
              <w:spacing w:before="100" w:beforeAutospacing="1" w:after="100" w:afterAutospacing="1" w:line="300" w:lineRule="atLeast"/>
              <w:jc w:val="center"/>
              <w:rPr>
                <w:rFonts w:ascii="宋体" w:eastAsia="宋体" w:hAnsi="宋体" w:cs="宋体"/>
                <w:b/>
                <w:bCs/>
                <w:color w:val="000000"/>
                <w:kern w:val="0"/>
                <w:sz w:val="32"/>
                <w:szCs w:val="32"/>
              </w:rPr>
            </w:pPr>
          </w:p>
        </w:tc>
      </w:tr>
      <w:tr w:rsidR="00BB01D1" w:rsidRPr="00BB01D1" w:rsidTr="00BB01D1">
        <w:trPr>
          <w:tblCellSpacing w:w="0" w:type="dxa"/>
        </w:trPr>
        <w:tc>
          <w:tcPr>
            <w:tcW w:w="0" w:type="auto"/>
            <w:vAlign w:val="center"/>
            <w:hideMark/>
          </w:tcPr>
          <w:p w:rsidR="00BB01D1" w:rsidRPr="00BB01D1" w:rsidRDefault="00BB01D1" w:rsidP="00BB01D1">
            <w:pPr>
              <w:widowControl/>
              <w:jc w:val="left"/>
              <w:rPr>
                <w:rFonts w:ascii="宋体" w:eastAsia="宋体" w:hAnsi="宋体" w:cs="宋体" w:hint="eastAsia"/>
                <w:b/>
                <w:bCs/>
                <w:color w:val="000000"/>
                <w:kern w:val="0"/>
                <w:sz w:val="32"/>
                <w:szCs w:val="32"/>
              </w:rPr>
            </w:pPr>
          </w:p>
        </w:tc>
      </w:tr>
      <w:tr w:rsidR="00BB01D1" w:rsidRPr="00BB01D1" w:rsidTr="00BB01D1">
        <w:trPr>
          <w:trHeight w:val="4200"/>
          <w:tblCellSpacing w:w="0" w:type="dxa"/>
        </w:trPr>
        <w:tc>
          <w:tcPr>
            <w:tcW w:w="0" w:type="auto"/>
            <w:tcMar>
              <w:top w:w="300" w:type="dxa"/>
              <w:left w:w="750" w:type="dxa"/>
              <w:bottom w:w="0" w:type="dxa"/>
              <w:right w:w="750" w:type="dxa"/>
            </w:tcMar>
            <w:hideMark/>
          </w:tcPr>
          <w:p w:rsidR="00BB01D1" w:rsidRPr="00BB01D1" w:rsidRDefault="00BB01D1" w:rsidP="00BB01D1">
            <w:pPr>
              <w:widowControl/>
              <w:spacing w:before="100" w:beforeAutospacing="1" w:after="100" w:afterAutospacing="1" w:line="360" w:lineRule="auto"/>
              <w:jc w:val="center"/>
              <w:rPr>
                <w:rFonts w:ascii="宋体" w:eastAsia="宋体" w:hAnsi="宋体" w:cs="宋体"/>
                <w:kern w:val="0"/>
                <w:sz w:val="24"/>
                <w:szCs w:val="24"/>
              </w:rPr>
            </w:pPr>
            <w:bookmarkStart w:id="0" w:name="_GoBack"/>
            <w:r w:rsidRPr="00BB01D1">
              <w:rPr>
                <w:rFonts w:ascii="宋体" w:eastAsia="宋体" w:hAnsi="宋体" w:cs="宋体" w:hint="eastAsia"/>
                <w:kern w:val="0"/>
                <w:sz w:val="24"/>
                <w:szCs w:val="24"/>
              </w:rPr>
              <w:t>北京大学医学部国内仪器设备采购实施细则</w:t>
            </w:r>
          </w:p>
          <w:bookmarkEnd w:id="0"/>
          <w:p w:rsidR="00BB01D1" w:rsidRPr="00BB01D1" w:rsidRDefault="00BB01D1" w:rsidP="00BB01D1">
            <w:pPr>
              <w:widowControl/>
              <w:spacing w:before="100" w:beforeAutospacing="1" w:after="100" w:afterAutospacing="1" w:line="360" w:lineRule="auto"/>
              <w:jc w:val="center"/>
              <w:rPr>
                <w:rFonts w:ascii="宋体" w:eastAsia="宋体" w:hAnsi="宋体" w:cs="宋体" w:hint="eastAsia"/>
                <w:kern w:val="0"/>
                <w:sz w:val="24"/>
                <w:szCs w:val="24"/>
              </w:rPr>
            </w:pPr>
            <w:r w:rsidRPr="00BB01D1">
              <w:rPr>
                <w:rFonts w:ascii="宋体" w:eastAsia="宋体" w:hAnsi="宋体" w:cs="宋体" w:hint="eastAsia"/>
                <w:kern w:val="0"/>
                <w:sz w:val="24"/>
                <w:szCs w:val="24"/>
              </w:rPr>
              <w:t>第一章   总则</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4"/>
              </w:rPr>
            </w:pPr>
            <w:r w:rsidRPr="00BB01D1">
              <w:rPr>
                <w:rFonts w:ascii="宋体" w:eastAsia="宋体" w:hAnsi="宋体" w:cs="宋体" w:hint="eastAsia"/>
                <w:kern w:val="0"/>
                <w:sz w:val="24"/>
                <w:szCs w:val="24"/>
              </w:rPr>
              <w:t xml:space="preserve">　　第一条 为加强对仪器设备的采购管理，规范采购行为，提高资金的使用效益，根据《中华人民共和国政府采购法》、《中华人民共和国招标投标法》、《北京大学国内仪器设备采购管理办法》（</w:t>
            </w:r>
            <w:proofErr w:type="gramStart"/>
            <w:r w:rsidRPr="00BB01D1">
              <w:rPr>
                <w:rFonts w:ascii="宋体" w:eastAsia="宋体" w:hAnsi="宋体" w:cs="宋体" w:hint="eastAsia"/>
                <w:kern w:val="0"/>
                <w:sz w:val="24"/>
                <w:szCs w:val="24"/>
              </w:rPr>
              <w:t>校发</w:t>
            </w:r>
            <w:proofErr w:type="gramEnd"/>
            <w:r w:rsidRPr="00BB01D1">
              <w:rPr>
                <w:rFonts w:ascii="宋体" w:eastAsia="宋体" w:hAnsi="宋体" w:cs="宋体" w:hint="eastAsia"/>
                <w:kern w:val="0"/>
                <w:sz w:val="24"/>
                <w:szCs w:val="24"/>
              </w:rPr>
              <w:t>[2006]271）等法律法规的有关规定，结合医学部实际情况，特制定本实施细则。</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4"/>
              </w:rPr>
            </w:pPr>
            <w:r w:rsidRPr="00BB01D1">
              <w:rPr>
                <w:rFonts w:ascii="宋体" w:eastAsia="宋体" w:hAnsi="宋体" w:cs="宋体" w:hint="eastAsia"/>
                <w:kern w:val="0"/>
                <w:sz w:val="24"/>
                <w:szCs w:val="24"/>
              </w:rPr>
              <w:t xml:space="preserve">　　第二条 凡使用学校管理的资金采购仪器设备（含家具、软件）的，均适用于本细则。</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4"/>
              </w:rPr>
            </w:pPr>
            <w:r w:rsidRPr="00BB01D1">
              <w:rPr>
                <w:rFonts w:ascii="宋体" w:eastAsia="宋体" w:hAnsi="宋体" w:cs="宋体" w:hint="eastAsia"/>
                <w:kern w:val="0"/>
                <w:sz w:val="24"/>
                <w:szCs w:val="24"/>
              </w:rPr>
              <w:t>第三条 学校可根据不同专项资金的特殊要求，另行制定相应的专项资金仪器设备购置管理细则。</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4"/>
              </w:rPr>
            </w:pPr>
            <w:r w:rsidRPr="00BB01D1">
              <w:rPr>
                <w:rFonts w:ascii="宋体" w:eastAsia="宋体" w:hAnsi="宋体" w:cs="宋体" w:hint="eastAsia"/>
                <w:kern w:val="0"/>
                <w:sz w:val="24"/>
                <w:szCs w:val="24"/>
              </w:rPr>
              <w:t>第四条 北京大学医学部设备与实验室管理处是经医学部授权的仪器设备采购的执行机构，负责仪器设备采购活动的组织与实施。</w:t>
            </w:r>
          </w:p>
          <w:p w:rsidR="00BB01D1" w:rsidRPr="00BB01D1" w:rsidRDefault="00BB01D1" w:rsidP="00BB01D1">
            <w:pPr>
              <w:widowControl/>
              <w:spacing w:before="100" w:beforeAutospacing="1" w:after="100" w:afterAutospacing="1" w:line="360" w:lineRule="auto"/>
              <w:jc w:val="center"/>
              <w:rPr>
                <w:rFonts w:ascii="宋体" w:eastAsia="宋体" w:hAnsi="宋体" w:cs="宋体" w:hint="eastAsia"/>
                <w:kern w:val="0"/>
                <w:sz w:val="24"/>
                <w:szCs w:val="24"/>
              </w:rPr>
            </w:pPr>
            <w:r w:rsidRPr="00BB01D1">
              <w:rPr>
                <w:rFonts w:ascii="宋体" w:eastAsia="宋体" w:hAnsi="宋体" w:cs="宋体" w:hint="eastAsia"/>
                <w:kern w:val="0"/>
                <w:sz w:val="24"/>
                <w:szCs w:val="24"/>
              </w:rPr>
              <w:t>第二章  仪器设备采购的审批与论证</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4"/>
              </w:rPr>
            </w:pPr>
            <w:r w:rsidRPr="00BB01D1">
              <w:rPr>
                <w:rFonts w:ascii="宋体" w:eastAsia="宋体" w:hAnsi="宋体" w:cs="宋体" w:hint="eastAsia"/>
                <w:kern w:val="0"/>
                <w:sz w:val="24"/>
                <w:szCs w:val="24"/>
              </w:rPr>
              <w:t>第五条 5万元人民币以下的仪器设备，需经院系主管负责人审批；单价在5万元人民币（含）以上的仪器设备由院系主管负责人审批后，由设备与实验室管理处审核。</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4"/>
              </w:rPr>
            </w:pPr>
            <w:r w:rsidRPr="00BB01D1">
              <w:rPr>
                <w:rFonts w:ascii="宋体" w:eastAsia="宋体" w:hAnsi="宋体" w:cs="宋体" w:hint="eastAsia"/>
                <w:kern w:val="0"/>
                <w:sz w:val="24"/>
                <w:szCs w:val="24"/>
              </w:rPr>
              <w:lastRenderedPageBreak/>
              <w:t>第六条 购置预算单价在40万（含）以上的仪器设备，均应按照《北京大学大型仪器管理办法》的相关规定进行论证。填写《北京大学医学部申请购置大型仪器设备可行性论证报告》，并进行可行性论证。在论证前，项目单位应对供应</w:t>
            </w:r>
            <w:proofErr w:type="gramStart"/>
            <w:r w:rsidRPr="00BB01D1">
              <w:rPr>
                <w:rFonts w:ascii="宋体" w:eastAsia="宋体" w:hAnsi="宋体" w:cs="宋体" w:hint="eastAsia"/>
                <w:kern w:val="0"/>
                <w:sz w:val="24"/>
                <w:szCs w:val="24"/>
              </w:rPr>
              <w:t>商情况</w:t>
            </w:r>
            <w:proofErr w:type="gramEnd"/>
            <w:r w:rsidRPr="00BB01D1">
              <w:rPr>
                <w:rFonts w:ascii="宋体" w:eastAsia="宋体" w:hAnsi="宋体" w:cs="宋体" w:hint="eastAsia"/>
                <w:kern w:val="0"/>
                <w:sz w:val="24"/>
                <w:szCs w:val="24"/>
              </w:rPr>
              <w:t>进行调研，在条件许可的情况下应选择多个供应商并了解其技术能力、资信状况及售后服务等综合情况。</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4"/>
              </w:rPr>
            </w:pPr>
            <w:r w:rsidRPr="00BB01D1">
              <w:rPr>
                <w:rFonts w:ascii="宋体" w:eastAsia="宋体" w:hAnsi="宋体" w:cs="宋体" w:hint="eastAsia"/>
                <w:kern w:val="0"/>
                <w:sz w:val="24"/>
                <w:szCs w:val="24"/>
              </w:rPr>
              <w:t>第七条 论证通过后，购置预算单价在40万元（含）—80万元（不含）人民币的，由设备与实验室管理处负责人审批后进入采购阶段。购置预算单价在80万元（含）人民币以上的，由医学部主管副主任审批后进入采购阶段。</w:t>
            </w:r>
          </w:p>
          <w:p w:rsidR="00BB01D1" w:rsidRPr="00BB01D1" w:rsidRDefault="00BB01D1" w:rsidP="00BB01D1">
            <w:pPr>
              <w:widowControl/>
              <w:spacing w:before="100" w:beforeAutospacing="1" w:after="100" w:afterAutospacing="1" w:line="360" w:lineRule="auto"/>
              <w:jc w:val="center"/>
              <w:rPr>
                <w:rFonts w:ascii="宋体" w:eastAsia="宋体" w:hAnsi="宋体" w:cs="宋体" w:hint="eastAsia"/>
                <w:kern w:val="0"/>
                <w:sz w:val="24"/>
                <w:szCs w:val="24"/>
              </w:rPr>
            </w:pPr>
            <w:r w:rsidRPr="00BB01D1">
              <w:rPr>
                <w:rFonts w:ascii="宋体" w:eastAsia="宋体" w:hAnsi="宋体" w:cs="宋体" w:hint="eastAsia"/>
                <w:kern w:val="0"/>
                <w:sz w:val="24"/>
                <w:szCs w:val="24"/>
              </w:rPr>
              <w:t>第三章  仪器设备的采购</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4"/>
              </w:rPr>
            </w:pPr>
            <w:r w:rsidRPr="00BB01D1">
              <w:rPr>
                <w:rFonts w:ascii="宋体" w:eastAsia="宋体" w:hAnsi="宋体" w:cs="宋体" w:hint="eastAsia"/>
                <w:kern w:val="0"/>
                <w:sz w:val="24"/>
                <w:szCs w:val="24"/>
              </w:rPr>
              <w:t>第八条 仪器设备采购方式分为：招标采购、非招标采购（集中采购、学校采购或自购）。</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4"/>
              </w:rPr>
            </w:pPr>
            <w:r w:rsidRPr="00BB01D1">
              <w:rPr>
                <w:rFonts w:ascii="宋体" w:eastAsia="宋体" w:hAnsi="宋体" w:cs="宋体" w:hint="eastAsia"/>
                <w:kern w:val="0"/>
                <w:sz w:val="24"/>
                <w:szCs w:val="24"/>
              </w:rPr>
              <w:t>第九条 招标采购 （包括政府招标采购和学校招标采购）</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4"/>
              </w:rPr>
            </w:pPr>
            <w:r w:rsidRPr="00BB01D1">
              <w:rPr>
                <w:rFonts w:ascii="宋体" w:eastAsia="宋体" w:hAnsi="宋体" w:cs="宋体" w:hint="eastAsia"/>
                <w:kern w:val="0"/>
                <w:sz w:val="24"/>
                <w:szCs w:val="24"/>
              </w:rPr>
              <w:t>购置单台或批量的仪器设备总价在20万元人民币（含）以上，购置家具金额大于10万元人民币（含）的，由学校统一组织招标采购，申购单位需填报《北京大学医学部购置设备计划审批单》并提供相应的材料，具体实施细则详见《北京大学医学部仪器设备招标采购管理办法》。</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4"/>
              </w:rPr>
            </w:pPr>
            <w:r w:rsidRPr="00BB01D1">
              <w:rPr>
                <w:rFonts w:ascii="宋体" w:eastAsia="宋体" w:hAnsi="宋体" w:cs="宋体" w:hint="eastAsia"/>
                <w:kern w:val="0"/>
                <w:sz w:val="24"/>
                <w:szCs w:val="24"/>
              </w:rPr>
              <w:t>第十条 集中采购</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4"/>
              </w:rPr>
            </w:pPr>
            <w:r w:rsidRPr="00BB01D1">
              <w:rPr>
                <w:rFonts w:ascii="宋体" w:eastAsia="宋体" w:hAnsi="宋体" w:cs="宋体" w:hint="eastAsia"/>
                <w:kern w:val="0"/>
                <w:sz w:val="24"/>
                <w:szCs w:val="24"/>
              </w:rPr>
              <w:t>（一）政府集中采购：属于政府集中采购目录范围内的仪器设备的采购，按照政府集中采购细则执行。</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4"/>
              </w:rPr>
            </w:pPr>
            <w:r w:rsidRPr="00BB01D1">
              <w:rPr>
                <w:rFonts w:ascii="宋体" w:eastAsia="宋体" w:hAnsi="宋体" w:cs="宋体" w:hint="eastAsia"/>
                <w:kern w:val="0"/>
                <w:sz w:val="24"/>
                <w:szCs w:val="24"/>
              </w:rPr>
              <w:lastRenderedPageBreak/>
              <w:t xml:space="preserve">（二）学校集中采购：不在政府集中采购范围内的，或在政府集中采购范围内,但因价格等因素造成采购成本不合理的仪器设备，可在北京大学通用设备协议供货厂商名单范围内采购。 </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4"/>
              </w:rPr>
            </w:pPr>
            <w:r w:rsidRPr="00BB01D1">
              <w:rPr>
                <w:rFonts w:ascii="宋体" w:eastAsia="宋体" w:hAnsi="宋体" w:cs="宋体" w:hint="eastAsia"/>
                <w:kern w:val="0"/>
                <w:sz w:val="24"/>
                <w:szCs w:val="24"/>
              </w:rPr>
              <w:t>第十一条 自购</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4"/>
              </w:rPr>
            </w:pPr>
            <w:r w:rsidRPr="00BB01D1">
              <w:rPr>
                <w:rFonts w:ascii="宋体" w:eastAsia="宋体" w:hAnsi="宋体" w:cs="宋体" w:hint="eastAsia"/>
                <w:kern w:val="0"/>
                <w:sz w:val="24"/>
                <w:szCs w:val="24"/>
              </w:rPr>
              <w:t>专业性较强或本应采取政府集中采购的仪器设备，如用户因特殊要求需自购的，用户需</w:t>
            </w:r>
            <w:proofErr w:type="gramStart"/>
            <w:r w:rsidRPr="00BB01D1">
              <w:rPr>
                <w:rFonts w:ascii="宋体" w:eastAsia="宋体" w:hAnsi="宋体" w:cs="宋体" w:hint="eastAsia"/>
                <w:kern w:val="0"/>
                <w:sz w:val="24"/>
                <w:szCs w:val="24"/>
              </w:rPr>
              <w:t>向设备</w:t>
            </w:r>
            <w:proofErr w:type="gramEnd"/>
            <w:r w:rsidRPr="00BB01D1">
              <w:rPr>
                <w:rFonts w:ascii="宋体" w:eastAsia="宋体" w:hAnsi="宋体" w:cs="宋体" w:hint="eastAsia"/>
                <w:kern w:val="0"/>
                <w:sz w:val="24"/>
                <w:szCs w:val="24"/>
              </w:rPr>
              <w:t>与实验室管理处提出书面申请并获得批准后，方可自购。</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4"/>
              </w:rPr>
            </w:pPr>
            <w:r w:rsidRPr="00BB01D1">
              <w:rPr>
                <w:rFonts w:ascii="宋体" w:eastAsia="宋体" w:hAnsi="宋体" w:cs="宋体" w:hint="eastAsia"/>
                <w:kern w:val="0"/>
                <w:sz w:val="24"/>
                <w:szCs w:val="24"/>
              </w:rPr>
              <w:t>第十二条 学校采购</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4"/>
              </w:rPr>
            </w:pPr>
            <w:r w:rsidRPr="00BB01D1">
              <w:rPr>
                <w:rFonts w:ascii="宋体" w:eastAsia="宋体" w:hAnsi="宋体" w:cs="宋体" w:hint="eastAsia"/>
                <w:kern w:val="0"/>
                <w:sz w:val="24"/>
                <w:szCs w:val="24"/>
              </w:rPr>
              <w:t>凡上述采购范围之外的仪器设备，由设备与实验室管理处负责采购。</w:t>
            </w:r>
          </w:p>
          <w:p w:rsidR="00BB01D1" w:rsidRPr="00BB01D1" w:rsidRDefault="00BB01D1" w:rsidP="00BB01D1">
            <w:pPr>
              <w:widowControl/>
              <w:spacing w:before="100" w:beforeAutospacing="1" w:after="100" w:afterAutospacing="1" w:line="360" w:lineRule="auto"/>
              <w:jc w:val="center"/>
              <w:rPr>
                <w:rFonts w:ascii="宋体" w:eastAsia="宋体" w:hAnsi="宋体" w:cs="宋体" w:hint="eastAsia"/>
                <w:kern w:val="0"/>
                <w:sz w:val="24"/>
                <w:szCs w:val="24"/>
              </w:rPr>
            </w:pPr>
            <w:r w:rsidRPr="00BB01D1">
              <w:rPr>
                <w:rFonts w:ascii="宋体" w:eastAsia="宋体" w:hAnsi="宋体" w:cs="宋体" w:hint="eastAsia"/>
                <w:kern w:val="0"/>
                <w:sz w:val="24"/>
                <w:szCs w:val="24"/>
              </w:rPr>
              <w:t>第四章  仪器设备采购合同</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4"/>
              </w:rPr>
            </w:pPr>
            <w:r w:rsidRPr="00BB01D1">
              <w:rPr>
                <w:rFonts w:ascii="宋体" w:eastAsia="宋体" w:hAnsi="宋体" w:cs="宋体" w:hint="eastAsia"/>
                <w:kern w:val="0"/>
                <w:sz w:val="24"/>
                <w:szCs w:val="24"/>
              </w:rPr>
              <w:t>第十三条 凡仪器设备的购置，原则上都应签订合同,作为买卖双方的法律依据和保障。1万元人民币（含）以上的必须签订合同，合同一式4份；5万元人民币（含）以上的仪器设备采购合同，由买卖双方签字，加盖采购单位公章后，到设备与实验室管理处审核,并加盖设备与实验室管理处合同专用章，合同方可生效。</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4"/>
              </w:rPr>
            </w:pPr>
            <w:r w:rsidRPr="00BB01D1">
              <w:rPr>
                <w:rFonts w:ascii="宋体" w:eastAsia="宋体" w:hAnsi="宋体" w:cs="宋体" w:hint="eastAsia"/>
                <w:kern w:val="0"/>
                <w:sz w:val="24"/>
                <w:szCs w:val="24"/>
              </w:rPr>
              <w:t>第十四条 合同内容由双方当事人约定，包括以下条款：当事人名称或姓名和地址；设备名称；数量；价款；技术指标、验收标准；交货期限、地点和方式；售后服务条款；违约责任；解决争议的方法等。设备与实验室管理处提供国内采购合同的标准模板供用户参考，下载地址。</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4"/>
              </w:rPr>
            </w:pPr>
            <w:r w:rsidRPr="00BB01D1">
              <w:rPr>
                <w:rFonts w:ascii="宋体" w:eastAsia="宋体" w:hAnsi="宋体" w:cs="宋体" w:hint="eastAsia"/>
                <w:kern w:val="0"/>
                <w:sz w:val="24"/>
                <w:szCs w:val="24"/>
              </w:rPr>
              <w:t>第十五条 设备与实验室管理处经授权代表北京大学医学部对外签订仪器设备购置合同，负责监督合同的执行、处理相关的合同</w:t>
            </w:r>
            <w:r w:rsidRPr="00BB01D1">
              <w:rPr>
                <w:rFonts w:ascii="宋体" w:eastAsia="宋体" w:hAnsi="宋体" w:cs="宋体" w:hint="eastAsia"/>
                <w:kern w:val="0"/>
                <w:sz w:val="24"/>
                <w:szCs w:val="24"/>
              </w:rPr>
              <w:lastRenderedPageBreak/>
              <w:t>纠纷并对合同书进行管理及存档，以及20万人民币（含）以上采购合同的具体执行工作。</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4"/>
              </w:rPr>
            </w:pPr>
            <w:r w:rsidRPr="00BB01D1">
              <w:rPr>
                <w:rFonts w:ascii="宋体" w:eastAsia="宋体" w:hAnsi="宋体" w:cs="宋体" w:hint="eastAsia"/>
                <w:kern w:val="0"/>
                <w:sz w:val="24"/>
                <w:szCs w:val="24"/>
              </w:rPr>
              <w:t>第十六条 设备的安装验收</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4"/>
              </w:rPr>
            </w:pPr>
            <w:r w:rsidRPr="00BB01D1">
              <w:rPr>
                <w:rFonts w:ascii="宋体" w:eastAsia="宋体" w:hAnsi="宋体" w:cs="宋体" w:hint="eastAsia"/>
                <w:kern w:val="0"/>
                <w:sz w:val="24"/>
                <w:szCs w:val="24"/>
              </w:rPr>
              <w:t>40万人民币以下的仪器设备安装验收由各院系自行组织，40万人民币以上（含）的仪器设备由设备与实验室管理处组织验收。</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4"/>
              </w:rPr>
            </w:pPr>
            <w:r w:rsidRPr="00BB01D1">
              <w:rPr>
                <w:rFonts w:ascii="宋体" w:eastAsia="宋体" w:hAnsi="宋体" w:cs="宋体" w:hint="eastAsia"/>
                <w:kern w:val="0"/>
                <w:sz w:val="24"/>
                <w:szCs w:val="24"/>
              </w:rPr>
              <w:t>第十七条 附属医院用户的采购</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4"/>
              </w:rPr>
            </w:pPr>
            <w:r w:rsidRPr="00BB01D1">
              <w:rPr>
                <w:rFonts w:ascii="宋体" w:eastAsia="宋体" w:hAnsi="宋体" w:cs="宋体" w:hint="eastAsia"/>
                <w:kern w:val="0"/>
                <w:sz w:val="24"/>
                <w:szCs w:val="24"/>
              </w:rPr>
              <w:t>申购者单位为医学部附属医院，但使用医学部资金国内采购仪器设备的，由医院设备部门统一负责合同的签订、仪器安装验收及仪器的后续管理工作。合同的签订流程可按医学部的规定执行，合同须到医学部设备与实验室管理处审核,并加盖设备与实验室管理处合同专用章。</w:t>
            </w:r>
          </w:p>
          <w:p w:rsidR="00BB01D1" w:rsidRPr="00BB01D1" w:rsidRDefault="00BB01D1" w:rsidP="00BB01D1">
            <w:pPr>
              <w:widowControl/>
              <w:spacing w:before="100" w:beforeAutospacing="1" w:after="100" w:afterAutospacing="1" w:line="360" w:lineRule="auto"/>
              <w:jc w:val="center"/>
              <w:rPr>
                <w:rFonts w:ascii="宋体" w:eastAsia="宋体" w:hAnsi="宋体" w:cs="宋体" w:hint="eastAsia"/>
                <w:kern w:val="0"/>
                <w:sz w:val="24"/>
                <w:szCs w:val="24"/>
              </w:rPr>
            </w:pPr>
            <w:r w:rsidRPr="00BB01D1">
              <w:rPr>
                <w:rFonts w:ascii="宋体" w:eastAsia="宋体" w:hAnsi="宋体" w:cs="宋体" w:hint="eastAsia"/>
                <w:kern w:val="0"/>
                <w:sz w:val="24"/>
                <w:szCs w:val="24"/>
              </w:rPr>
              <w:t>第五章  仪器设备采购监督</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4"/>
              </w:rPr>
            </w:pPr>
            <w:r w:rsidRPr="00BB01D1">
              <w:rPr>
                <w:rFonts w:ascii="宋体" w:eastAsia="宋体" w:hAnsi="宋体" w:cs="宋体" w:hint="eastAsia"/>
                <w:kern w:val="0"/>
                <w:sz w:val="24"/>
                <w:szCs w:val="24"/>
              </w:rPr>
              <w:t>第十八条 北京大学医学部仪器设备采购工作接受监察、审计、财务等部门的监督。任何单位和个人对采购活动中的违法行为，有权向学校纪检监察部门检举和反映情况。</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4"/>
              </w:rPr>
            </w:pPr>
            <w:r w:rsidRPr="00BB01D1">
              <w:rPr>
                <w:rFonts w:ascii="宋体" w:eastAsia="宋体" w:hAnsi="宋体" w:cs="宋体" w:hint="eastAsia"/>
                <w:kern w:val="0"/>
                <w:sz w:val="24"/>
                <w:szCs w:val="24"/>
              </w:rPr>
              <w:t>第十九条 各相关人员必须严守纪律、严格执行规定程序和制度，主动接受有关部门的监督检查。对于在采购活动中的违规违纪行为，学校将根据有关规定追究其责任，构成违法犯罪的，移送国家有关部门处理。</w:t>
            </w:r>
          </w:p>
          <w:p w:rsidR="00BB01D1" w:rsidRPr="00BB01D1" w:rsidRDefault="00BB01D1" w:rsidP="00BB01D1">
            <w:pPr>
              <w:widowControl/>
              <w:spacing w:before="100" w:beforeAutospacing="1" w:after="100" w:afterAutospacing="1" w:line="360" w:lineRule="auto"/>
              <w:jc w:val="center"/>
              <w:rPr>
                <w:rFonts w:ascii="宋体" w:eastAsia="宋体" w:hAnsi="宋体" w:cs="宋体" w:hint="eastAsia"/>
                <w:kern w:val="0"/>
                <w:sz w:val="24"/>
                <w:szCs w:val="24"/>
              </w:rPr>
            </w:pPr>
            <w:r w:rsidRPr="00BB01D1">
              <w:rPr>
                <w:rFonts w:ascii="宋体" w:eastAsia="宋体" w:hAnsi="宋体" w:cs="宋体" w:hint="eastAsia"/>
                <w:kern w:val="0"/>
                <w:sz w:val="24"/>
                <w:szCs w:val="24"/>
              </w:rPr>
              <w:t>第六章  附    则</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4"/>
              </w:rPr>
            </w:pPr>
            <w:r w:rsidRPr="00BB01D1">
              <w:rPr>
                <w:rFonts w:ascii="宋体" w:eastAsia="宋体" w:hAnsi="宋体" w:cs="宋体" w:hint="eastAsia"/>
                <w:kern w:val="0"/>
                <w:sz w:val="24"/>
                <w:szCs w:val="24"/>
              </w:rPr>
              <w:t>第二十条 各临床医院可参照本细则的基本原则另行制定实施细则。</w:t>
            </w:r>
          </w:p>
          <w:p w:rsidR="00BB01D1" w:rsidRPr="00BB01D1" w:rsidRDefault="00BB01D1" w:rsidP="00BB01D1">
            <w:pPr>
              <w:widowControl/>
              <w:spacing w:before="100" w:beforeAutospacing="1" w:after="100" w:afterAutospacing="1" w:line="360" w:lineRule="auto"/>
              <w:jc w:val="left"/>
              <w:rPr>
                <w:rFonts w:ascii="宋体" w:eastAsia="宋体" w:hAnsi="宋体" w:cs="宋体" w:hint="eastAsia"/>
                <w:kern w:val="0"/>
                <w:sz w:val="24"/>
                <w:szCs w:val="21"/>
              </w:rPr>
            </w:pPr>
            <w:r w:rsidRPr="00BB01D1">
              <w:rPr>
                <w:rFonts w:ascii="宋体" w:eastAsia="宋体" w:hAnsi="宋体" w:cs="宋体" w:hint="eastAsia"/>
                <w:kern w:val="0"/>
                <w:sz w:val="24"/>
                <w:szCs w:val="24"/>
              </w:rPr>
              <w:t>第二十一条 本细则由设备与实验室管理处负责解释。</w:t>
            </w:r>
          </w:p>
        </w:tc>
      </w:tr>
    </w:tbl>
    <w:p w:rsidR="00742CFF" w:rsidRPr="00BB01D1" w:rsidRDefault="00742CFF" w:rsidP="00742CFF">
      <w:pPr>
        <w:rPr>
          <w:rFonts w:ascii="Times New Roman" w:eastAsia="宋体" w:hAnsi="Times New Roman" w:cs="Times New Roman"/>
          <w:szCs w:val="24"/>
        </w:rPr>
      </w:pPr>
    </w:p>
    <w:p w:rsidR="00DF163F" w:rsidRPr="00742CFF" w:rsidRDefault="00DF163F"/>
    <w:sectPr w:rsidR="00DF163F" w:rsidRPr="00742CFF" w:rsidSect="00FC7147">
      <w:headerReference w:type="default" r:id="rId7"/>
      <w:footerReference w:type="even" r:id="rId8"/>
      <w:footerReference w:type="default" r:id="rId9"/>
      <w:pgSz w:w="11906" w:h="16838" w:code="9"/>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EA5" w:rsidRDefault="000D3EA5" w:rsidP="00742CFF">
      <w:r>
        <w:separator/>
      </w:r>
    </w:p>
  </w:endnote>
  <w:endnote w:type="continuationSeparator" w:id="0">
    <w:p w:rsidR="000D3EA5" w:rsidRDefault="000D3EA5" w:rsidP="0074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A75" w:rsidRDefault="001E434E" w:rsidP="00AF5A7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F5A75" w:rsidRDefault="000D3EA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325" w:rsidRDefault="000D3E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EA5" w:rsidRDefault="000D3EA5" w:rsidP="00742CFF">
      <w:r>
        <w:separator/>
      </w:r>
    </w:p>
  </w:footnote>
  <w:footnote w:type="continuationSeparator" w:id="0">
    <w:p w:rsidR="000D3EA5" w:rsidRDefault="000D3EA5" w:rsidP="00742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A75" w:rsidRDefault="000D3EA5" w:rsidP="00AF5A7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BA"/>
    <w:rsid w:val="000D3EA5"/>
    <w:rsid w:val="001E434E"/>
    <w:rsid w:val="00742CFF"/>
    <w:rsid w:val="00882164"/>
    <w:rsid w:val="008B6F3E"/>
    <w:rsid w:val="009B3ABA"/>
    <w:rsid w:val="00BB01D1"/>
    <w:rsid w:val="00DF1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C1CDA8-D136-4DD4-8B55-F6FC36CF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2C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2CFF"/>
    <w:rPr>
      <w:sz w:val="18"/>
      <w:szCs w:val="18"/>
    </w:rPr>
  </w:style>
  <w:style w:type="paragraph" w:styleId="a4">
    <w:name w:val="footer"/>
    <w:basedOn w:val="a"/>
    <w:link w:val="Char0"/>
    <w:uiPriority w:val="99"/>
    <w:unhideWhenUsed/>
    <w:rsid w:val="00742CFF"/>
    <w:pPr>
      <w:tabs>
        <w:tab w:val="center" w:pos="4153"/>
        <w:tab w:val="right" w:pos="8306"/>
      </w:tabs>
      <w:snapToGrid w:val="0"/>
      <w:jc w:val="left"/>
    </w:pPr>
    <w:rPr>
      <w:sz w:val="18"/>
      <w:szCs w:val="18"/>
    </w:rPr>
  </w:style>
  <w:style w:type="character" w:customStyle="1" w:styleId="Char0">
    <w:name w:val="页脚 Char"/>
    <w:basedOn w:val="a0"/>
    <w:link w:val="a4"/>
    <w:uiPriority w:val="99"/>
    <w:rsid w:val="00742CFF"/>
    <w:rPr>
      <w:sz w:val="18"/>
      <w:szCs w:val="18"/>
    </w:rPr>
  </w:style>
  <w:style w:type="character" w:styleId="a5">
    <w:name w:val="page number"/>
    <w:basedOn w:val="a0"/>
    <w:rsid w:val="00742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22599">
      <w:bodyDiv w:val="1"/>
      <w:marLeft w:val="0"/>
      <w:marRight w:val="0"/>
      <w:marTop w:val="0"/>
      <w:marBottom w:val="0"/>
      <w:divBdr>
        <w:top w:val="none" w:sz="0" w:space="0" w:color="auto"/>
        <w:left w:val="none" w:sz="0" w:space="0" w:color="auto"/>
        <w:bottom w:val="none" w:sz="0" w:space="0" w:color="auto"/>
        <w:right w:val="none" w:sz="0" w:space="0" w:color="auto"/>
      </w:divBdr>
      <w:divsChild>
        <w:div w:id="1214077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3A128-E406-4497-AD14-1F587B0D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292</Words>
  <Characters>1666</Characters>
  <Application>Microsoft Office Word</Application>
  <DocSecurity>0</DocSecurity>
  <Lines>13</Lines>
  <Paragraphs>3</Paragraphs>
  <ScaleCrop>false</ScaleCrop>
  <Company>sbc</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anduser</dc:creator>
  <cp:keywords/>
  <dc:description/>
  <cp:lastModifiedBy>anduser</cp:lastModifiedBy>
  <cp:revision>2</cp:revision>
  <dcterms:created xsi:type="dcterms:W3CDTF">2015-06-19T07:55:00Z</dcterms:created>
  <dcterms:modified xsi:type="dcterms:W3CDTF">2015-06-19T07:55:00Z</dcterms:modified>
</cp:coreProperties>
</file>