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jc w:val="center"/>
        <w:rPr>
          <w:rStyle w:val="20"/>
          <w:rFonts w:ascii="楷体_GB2312" w:eastAsia="楷体_GB2312"/>
          <w:shadow/>
          <w:sz w:val="84"/>
          <w:lang w:val="en-US" w:eastAsia="zh-CN" w:bidi="ar-SA"/>
        </w:rPr>
      </w:pPr>
    </w:p>
    <w:p>
      <w:pPr>
        <w:spacing w:line="360" w:lineRule="atLeast"/>
        <w:jc w:val="center"/>
        <w:rPr>
          <w:rStyle w:val="20"/>
          <w:rFonts w:ascii="楷体_GB2312" w:eastAsia="楷体_GB2312"/>
          <w:shadow/>
          <w:sz w:val="84"/>
          <w:lang w:val="en-US" w:eastAsia="zh-CN" w:bidi="ar-SA"/>
        </w:rPr>
      </w:pPr>
    </w:p>
    <w:p>
      <w:pPr>
        <w:spacing w:line="240" w:lineRule="auto"/>
        <w:jc w:val="center"/>
        <w:rPr>
          <w:rStyle w:val="20"/>
          <w:rFonts w:hint="eastAsia" w:ascii="宋体" w:hAnsi="宋体" w:eastAsia="宋体" w:cs="宋体"/>
          <w:shadow/>
          <w:sz w:val="84"/>
          <w:lang w:val="en-US" w:eastAsia="zh-CN" w:bidi="ar-SA"/>
        </w:rPr>
      </w:pPr>
      <w:r>
        <w:rPr>
          <w:rStyle w:val="20"/>
          <w:rFonts w:hint="eastAsia" w:ascii="宋体" w:hAnsi="宋体" w:eastAsia="宋体" w:cs="宋体"/>
          <w:shadow/>
          <w:sz w:val="84"/>
          <w:lang w:val="en-US" w:eastAsia="zh-CN" w:bidi="ar-SA"/>
        </w:rPr>
        <w:t xml:space="preserve">招 标 文 件 </w:t>
      </w:r>
    </w:p>
    <w:p>
      <w:pPr>
        <w:spacing w:line="700" w:lineRule="exact"/>
        <w:rPr>
          <w:rStyle w:val="20"/>
          <w:rFonts w:hint="eastAsia" w:ascii="宋体" w:hAnsi="宋体" w:eastAsia="宋体" w:cs="宋体"/>
          <w:shadow/>
          <w:sz w:val="30"/>
          <w:szCs w:val="30"/>
          <w:lang w:val="en-US" w:eastAsia="zh-CN" w:bidi="ar-SA"/>
        </w:rPr>
      </w:pPr>
      <w:r>
        <w:rPr>
          <w:rStyle w:val="20"/>
          <w:rFonts w:hint="eastAsia" w:ascii="宋体" w:hAnsi="宋体" w:eastAsia="宋体" w:cs="宋体"/>
          <w:shadow/>
          <w:sz w:val="30"/>
          <w:szCs w:val="30"/>
          <w:lang w:val="en-US" w:eastAsia="zh-CN" w:bidi="ar-SA"/>
        </w:rPr>
        <w:t>项目编号：BJMU2019025</w:t>
      </w:r>
    </w:p>
    <w:p>
      <w:pPr>
        <w:spacing w:line="700" w:lineRule="exact"/>
        <w:rPr>
          <w:rStyle w:val="20"/>
          <w:rFonts w:hint="eastAsia" w:ascii="宋体" w:hAnsi="宋体" w:eastAsia="宋体" w:cs="宋体"/>
          <w:sz w:val="32"/>
          <w:lang w:val="en-US" w:eastAsia="zh-CN" w:bidi="ar-SA"/>
        </w:rPr>
      </w:pPr>
      <w:r>
        <w:rPr>
          <w:rStyle w:val="20"/>
          <w:rFonts w:hint="eastAsia" w:ascii="宋体" w:hAnsi="宋体" w:eastAsia="宋体" w:cs="宋体"/>
          <w:shadow/>
          <w:sz w:val="30"/>
          <w:szCs w:val="30"/>
          <w:lang w:val="en-US" w:eastAsia="zh-CN" w:bidi="ar-SA"/>
        </w:rPr>
        <w:t>项目名称：北京大学医学部科研信息管理平台采购项目</w:t>
      </w:r>
    </w:p>
    <w:p>
      <w:pPr>
        <w:spacing w:line="700" w:lineRule="exact"/>
        <w:ind w:firstLine="600"/>
        <w:rPr>
          <w:rStyle w:val="20"/>
          <w:rFonts w:hint="eastAsia" w:ascii="宋体" w:hAnsi="宋体" w:eastAsia="宋体" w:cs="宋体"/>
          <w:sz w:val="32"/>
          <w:lang w:val="en-US" w:eastAsia="zh-CN" w:bidi="ar-SA"/>
        </w:rPr>
      </w:pPr>
    </w:p>
    <w:p>
      <w:pPr>
        <w:spacing w:line="700" w:lineRule="exact"/>
        <w:ind w:firstLine="600"/>
        <w:rPr>
          <w:rStyle w:val="20"/>
          <w:rFonts w:hint="eastAsia" w:ascii="宋体" w:hAnsi="宋体" w:eastAsia="宋体" w:cs="宋体"/>
          <w:sz w:val="32"/>
          <w:lang w:val="en-US" w:eastAsia="zh-CN" w:bidi="ar-SA"/>
        </w:rPr>
      </w:pPr>
    </w:p>
    <w:p>
      <w:pPr>
        <w:spacing w:line="700" w:lineRule="exact"/>
        <w:ind w:firstLine="600"/>
        <w:rPr>
          <w:rStyle w:val="20"/>
          <w:rFonts w:hint="eastAsia" w:ascii="宋体" w:hAnsi="宋体" w:eastAsia="宋体" w:cs="宋体"/>
          <w:sz w:val="32"/>
          <w:lang w:val="en-US" w:eastAsia="zh-CN" w:bidi="ar-SA"/>
        </w:rPr>
      </w:pPr>
    </w:p>
    <w:p>
      <w:pPr>
        <w:spacing w:line="700" w:lineRule="exact"/>
        <w:ind w:firstLine="600"/>
        <w:rPr>
          <w:rStyle w:val="20"/>
          <w:rFonts w:hint="eastAsia" w:ascii="宋体" w:hAnsi="宋体" w:eastAsia="宋体" w:cs="宋体"/>
          <w:sz w:val="32"/>
          <w:lang w:val="en-US" w:eastAsia="zh-CN" w:bidi="ar-SA"/>
        </w:rPr>
      </w:pPr>
    </w:p>
    <w:p>
      <w:pPr>
        <w:spacing w:line="700" w:lineRule="exact"/>
        <w:ind w:firstLine="600"/>
        <w:rPr>
          <w:rStyle w:val="20"/>
          <w:rFonts w:hint="eastAsia" w:ascii="宋体" w:hAnsi="宋体" w:eastAsia="宋体" w:cs="宋体"/>
          <w:sz w:val="32"/>
          <w:lang w:val="en-US" w:eastAsia="zh-CN" w:bidi="ar-SA"/>
        </w:rPr>
      </w:pPr>
    </w:p>
    <w:p>
      <w:pPr>
        <w:spacing w:line="700" w:lineRule="exact"/>
        <w:rPr>
          <w:rStyle w:val="20"/>
          <w:rFonts w:hint="eastAsia" w:ascii="宋体" w:hAnsi="宋体" w:eastAsia="宋体" w:cs="宋体"/>
          <w:sz w:val="32"/>
          <w:lang w:val="en-US" w:eastAsia="zh-CN" w:bidi="ar-SA"/>
        </w:rPr>
      </w:pPr>
    </w:p>
    <w:p>
      <w:pPr>
        <w:spacing w:line="700" w:lineRule="exact"/>
        <w:ind w:right="5525" w:firstLine="600"/>
        <w:rPr>
          <w:rStyle w:val="20"/>
          <w:rFonts w:hint="eastAsia" w:ascii="宋体" w:hAnsi="宋体" w:eastAsia="宋体" w:cs="宋体"/>
          <w:shadow/>
          <w:sz w:val="32"/>
          <w:lang w:val="en-US" w:eastAsia="zh-CN" w:bidi="ar-SA"/>
        </w:rPr>
      </w:pPr>
    </w:p>
    <w:p>
      <w:pPr>
        <w:spacing w:line="700" w:lineRule="exact"/>
        <w:ind w:firstLine="600"/>
        <w:rPr>
          <w:rStyle w:val="20"/>
          <w:rFonts w:hint="eastAsia" w:ascii="宋体" w:hAnsi="宋体" w:eastAsia="宋体" w:cs="宋体"/>
          <w:shadow/>
          <w:sz w:val="24"/>
          <w:lang w:val="en-US" w:eastAsia="zh-CN" w:bidi="ar-SA"/>
        </w:rPr>
      </w:pPr>
    </w:p>
    <w:p>
      <w:pPr>
        <w:spacing w:line="700" w:lineRule="exact"/>
        <w:jc w:val="center"/>
        <w:rPr>
          <w:rStyle w:val="20"/>
          <w:rFonts w:hint="eastAsia" w:ascii="宋体" w:hAnsi="宋体" w:eastAsia="宋体" w:cs="宋体"/>
          <w:shadow/>
          <w:sz w:val="32"/>
          <w:szCs w:val="32"/>
          <w:lang w:val="en-US" w:eastAsia="zh-CN" w:bidi="ar-SA"/>
        </w:rPr>
      </w:pPr>
      <w:r>
        <w:rPr>
          <w:rStyle w:val="20"/>
          <w:rFonts w:hint="eastAsia" w:ascii="宋体" w:hAnsi="宋体" w:eastAsia="宋体" w:cs="宋体"/>
          <w:shadow/>
          <w:sz w:val="32"/>
          <w:szCs w:val="32"/>
          <w:lang w:val="en-US" w:eastAsia="zh-CN" w:bidi="ar-SA"/>
        </w:rPr>
        <w:t>北京大学医学部设备与实验室管理处</w:t>
      </w:r>
    </w:p>
    <w:p>
      <w:pPr>
        <w:spacing w:line="700" w:lineRule="exact"/>
        <w:jc w:val="center"/>
        <w:rPr>
          <w:rStyle w:val="20"/>
          <w:rFonts w:hint="eastAsia" w:ascii="宋体" w:hAnsi="宋体" w:eastAsia="宋体" w:cs="宋体"/>
          <w:sz w:val="32"/>
          <w:szCs w:val="32"/>
          <w:lang w:val="en-US" w:eastAsia="zh-CN" w:bidi="ar-SA"/>
        </w:rPr>
      </w:pPr>
      <w:r>
        <w:rPr>
          <w:rStyle w:val="20"/>
          <w:rFonts w:hint="eastAsia" w:ascii="宋体" w:hAnsi="宋体" w:eastAsia="宋体" w:cs="宋体"/>
          <w:shadow/>
          <w:sz w:val="32"/>
          <w:szCs w:val="32"/>
          <w:lang w:val="en-US" w:eastAsia="zh-CN" w:bidi="ar-SA"/>
        </w:rPr>
        <w:t>二零一九年</w:t>
      </w:r>
      <w:r>
        <w:rPr>
          <w:rStyle w:val="20"/>
          <w:rFonts w:hint="eastAsia" w:ascii="宋体" w:hAnsi="宋体" w:eastAsia="宋体" w:cs="宋体"/>
          <w:sz w:val="32"/>
          <w:szCs w:val="32"/>
          <w:lang w:val="en-US" w:eastAsia="zh-CN" w:bidi="ar-SA"/>
        </w:rPr>
        <w:t xml:space="preserve">                 </w:t>
      </w:r>
    </w:p>
    <w:p>
      <w:pPr>
        <w:spacing w:line="700" w:lineRule="exact"/>
        <w:rPr>
          <w:rStyle w:val="20"/>
          <w:rFonts w:hint="eastAsia" w:ascii="宋体" w:hAnsi="宋体" w:eastAsia="宋体" w:cs="宋体"/>
          <w:sz w:val="32"/>
          <w:szCs w:val="32"/>
          <w:lang w:val="en-US" w:eastAsia="zh-CN" w:bidi="ar-SA"/>
        </w:rPr>
        <w:sectPr>
          <w:pgSz w:w="11907" w:h="16840"/>
          <w:pgMar w:top="1418" w:right="1418" w:bottom="1418" w:left="1701" w:header="851" w:footer="851" w:gutter="0"/>
          <w:lnNumType w:countBy="0"/>
          <w:cols w:space="720" w:num="1"/>
          <w:vAlign w:val="top"/>
          <w:docGrid w:linePitch="326" w:charSpace="0"/>
        </w:sectPr>
      </w:pPr>
    </w:p>
    <w:p>
      <w:pPr>
        <w:spacing w:line="700" w:lineRule="exact"/>
        <w:rPr>
          <w:rStyle w:val="20"/>
          <w:rFonts w:hint="eastAsia" w:ascii="宋体" w:hAnsi="宋体" w:eastAsia="宋体" w:cs="宋体"/>
          <w:b/>
          <w:sz w:val="28"/>
          <w:szCs w:val="28"/>
          <w:lang w:val="en-US" w:eastAsia="zh-CN" w:bidi="ar-SA"/>
        </w:rPr>
      </w:pPr>
    </w:p>
    <w:p>
      <w:pPr>
        <w:spacing w:line="360" w:lineRule="atLeast"/>
        <w:jc w:val="center"/>
        <w:rPr>
          <w:rStyle w:val="20"/>
          <w:rFonts w:hint="eastAsia" w:ascii="宋体" w:hAnsi="宋体" w:eastAsia="宋体" w:cs="宋体"/>
          <w:b/>
          <w:sz w:val="28"/>
          <w:szCs w:val="28"/>
          <w:lang w:val="en-US" w:eastAsia="zh-CN" w:bidi="ar-SA"/>
        </w:rPr>
      </w:pPr>
      <w:r>
        <w:rPr>
          <w:rStyle w:val="20"/>
          <w:rFonts w:hint="eastAsia" w:ascii="宋体" w:hAnsi="宋体" w:eastAsia="宋体" w:cs="宋体"/>
          <w:b/>
          <w:sz w:val="28"/>
          <w:szCs w:val="28"/>
          <w:lang w:val="en-US" w:eastAsia="zh-CN" w:bidi="ar-SA"/>
        </w:rPr>
        <w:t>目    录</w:t>
      </w:r>
    </w:p>
    <w:p>
      <w:pPr>
        <w:spacing w:line="360" w:lineRule="atLeast"/>
        <w:jc w:val="both"/>
        <w:rPr>
          <w:rStyle w:val="20"/>
          <w:rFonts w:hint="eastAsia" w:ascii="宋体" w:hAnsi="宋体" w:eastAsia="宋体" w:cs="宋体"/>
          <w:sz w:val="21"/>
          <w:szCs w:val="21"/>
          <w:lang w:val="en-US" w:eastAsia="zh-CN" w:bidi="ar-SA"/>
        </w:rPr>
      </w:pP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第一部分：投标邀请</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第二部分：投标人须知前附表</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第三部分：投标人须知</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一、总则</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二、招标文件</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三、投标文件</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四、投标文件的递交</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五、开标</w:t>
      </w:r>
    </w:p>
    <w:p>
      <w:pPr>
        <w:spacing w:line="360" w:lineRule="atLeast"/>
        <w:ind w:firstLine="435"/>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六、评标步骤和要求</w:t>
      </w:r>
    </w:p>
    <w:p>
      <w:pPr>
        <w:spacing w:line="360" w:lineRule="atLeast"/>
        <w:ind w:firstLine="435"/>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七、签订合同</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八、中标评审费</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九、处罚、询问和质疑</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十、保密和披露</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第四部分：评标标准和评标办法</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第五部分：招标货物需求一览表及技术规格要求</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第六部分：合同主要条款</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第七部分：投标文件格式</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第八部分：廉洁承诺书</w:t>
      </w:r>
    </w:p>
    <w:p>
      <w:pPr>
        <w:spacing w:line="360" w:lineRule="atLeast"/>
        <w:jc w:val="both"/>
        <w:rPr>
          <w:rStyle w:val="20"/>
          <w:rFonts w:hint="eastAsia" w:ascii="宋体" w:hAnsi="宋体" w:eastAsia="宋体" w:cs="宋体"/>
          <w:sz w:val="21"/>
          <w:szCs w:val="21"/>
          <w:lang w:val="en-US" w:eastAsia="zh-CN" w:bidi="ar-SA"/>
        </w:rPr>
        <w:sectPr>
          <w:pgSz w:w="11907" w:h="16840"/>
          <w:pgMar w:top="1418" w:right="1418" w:bottom="1418" w:left="1701" w:header="851" w:footer="851" w:gutter="0"/>
          <w:lnNumType w:countBy="0"/>
          <w:pgNumType w:start="1"/>
          <w:cols w:space="720" w:num="1"/>
          <w:vAlign w:val="top"/>
          <w:docGrid w:linePitch="326" w:charSpace="0"/>
        </w:sectPr>
      </w:pPr>
      <w:r>
        <w:rPr>
          <w:rStyle w:val="20"/>
          <w:rFonts w:hint="eastAsia" w:ascii="宋体" w:hAnsi="宋体" w:eastAsia="宋体" w:cs="宋体"/>
          <w:sz w:val="21"/>
          <w:szCs w:val="21"/>
          <w:lang w:val="en-US" w:eastAsia="zh-CN" w:bidi="ar-SA"/>
        </w:rPr>
        <w:t xml:space="preserve">     </w:t>
      </w:r>
    </w:p>
    <w:p>
      <w:pPr>
        <w:spacing w:line="240" w:lineRule="auto"/>
        <w:ind w:firstLine="420" w:firstLineChars="20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w:t>
      </w:r>
    </w:p>
    <w:p>
      <w:pPr>
        <w:pStyle w:val="75"/>
        <w:widowControl/>
        <w:spacing w:before="240" w:after="0" w:line="240" w:lineRule="auto"/>
        <w:jc w:val="center"/>
        <w:rPr>
          <w:rStyle w:val="20"/>
          <w:rFonts w:hint="eastAsia" w:ascii="宋体" w:hAnsi="宋体" w:eastAsia="宋体" w:cs="宋体"/>
          <w:b/>
          <w:bCs/>
          <w:kern w:val="44"/>
          <w:sz w:val="28"/>
          <w:szCs w:val="20"/>
          <w:lang w:val="en-US" w:eastAsia="zh-CN" w:bidi="ar-SA"/>
        </w:rPr>
      </w:pPr>
      <w:r>
        <w:rPr>
          <w:rStyle w:val="20"/>
          <w:rFonts w:hint="eastAsia" w:ascii="宋体" w:hAnsi="宋体" w:eastAsia="宋体" w:cs="宋体"/>
          <w:b/>
          <w:bCs/>
          <w:kern w:val="44"/>
          <w:sz w:val="28"/>
          <w:szCs w:val="20"/>
          <w:lang w:val="en-US" w:eastAsia="zh-CN" w:bidi="ar-SA"/>
        </w:rPr>
        <w:t xml:space="preserve"> 第一部分 投标邀请</w:t>
      </w:r>
    </w:p>
    <w:p>
      <w:pPr>
        <w:spacing w:line="240" w:lineRule="auto"/>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北京大学医学部设备与实验室管理处受北京大学医学部委托，就</w:t>
      </w:r>
      <w:r>
        <w:rPr>
          <w:rStyle w:val="20"/>
          <w:rFonts w:hint="eastAsia" w:ascii="宋体" w:hAnsi="宋体" w:eastAsia="宋体" w:cs="宋体"/>
          <w:sz w:val="21"/>
          <w:szCs w:val="21"/>
          <w:u w:val="single"/>
          <w:lang w:val="en-US" w:eastAsia="zh-CN" w:bidi="ar-SA"/>
        </w:rPr>
        <w:t xml:space="preserve"> 北京大学医学部科研信息管理平台采购项目 </w:t>
      </w:r>
      <w:r>
        <w:rPr>
          <w:rStyle w:val="20"/>
          <w:rFonts w:hint="eastAsia" w:ascii="宋体" w:hAnsi="宋体" w:eastAsia="宋体" w:cs="宋体"/>
          <w:sz w:val="21"/>
          <w:szCs w:val="21"/>
          <w:lang w:val="en-US" w:eastAsia="zh-CN" w:bidi="ar-SA"/>
        </w:rPr>
        <w:t>的相关货物和有关服务进行公开招标，邀请合格投标人提交密封投标。</w:t>
      </w:r>
    </w:p>
    <w:p>
      <w:pPr>
        <w:numPr>
          <w:ilvl w:val="0"/>
          <w:numId w:val="6"/>
        </w:numPr>
        <w:spacing w:line="240" w:lineRule="auto"/>
        <w:ind w:left="0" w:firstLine="0"/>
        <w:rPr>
          <w:rStyle w:val="20"/>
          <w:rFonts w:hint="eastAsia" w:ascii="宋体" w:hAnsi="宋体" w:eastAsia="宋体" w:cs="宋体"/>
          <w:sz w:val="24"/>
          <w:szCs w:val="21"/>
          <w:lang w:val="en-US" w:eastAsia="zh-CN" w:bidi="ar-SA"/>
        </w:rPr>
      </w:pPr>
      <w:r>
        <w:rPr>
          <w:rStyle w:val="20"/>
          <w:rFonts w:hint="eastAsia" w:ascii="宋体" w:hAnsi="宋体" w:eastAsia="宋体" w:cs="宋体"/>
          <w:sz w:val="24"/>
          <w:szCs w:val="21"/>
          <w:lang w:val="en-US" w:eastAsia="zh-CN" w:bidi="ar-SA"/>
        </w:rPr>
        <w:t>项目编号：</w:t>
      </w:r>
      <w:r>
        <w:rPr>
          <w:rStyle w:val="20"/>
          <w:rFonts w:hint="eastAsia" w:ascii="宋体" w:hAnsi="宋体" w:eastAsia="宋体" w:cs="宋体"/>
          <w:sz w:val="21"/>
          <w:szCs w:val="21"/>
          <w:u w:val="single"/>
          <w:lang w:val="en-US" w:eastAsia="zh-CN" w:bidi="ar-SA"/>
        </w:rPr>
        <w:t xml:space="preserve">BJMU2019025 </w:t>
      </w:r>
    </w:p>
    <w:p>
      <w:pPr>
        <w:spacing w:line="240" w:lineRule="auto"/>
        <w:rPr>
          <w:rStyle w:val="20"/>
          <w:rFonts w:hint="eastAsia" w:ascii="宋体" w:hAnsi="宋体" w:eastAsia="宋体" w:cs="宋体"/>
          <w:sz w:val="24"/>
          <w:szCs w:val="21"/>
          <w:u w:val="single"/>
          <w:lang w:val="en-US" w:eastAsia="zh-CN" w:bidi="ar-SA"/>
        </w:rPr>
      </w:pPr>
      <w:r>
        <w:rPr>
          <w:rStyle w:val="20"/>
          <w:rFonts w:hint="eastAsia" w:ascii="宋体" w:hAnsi="宋体" w:eastAsia="宋体" w:cs="宋体"/>
          <w:sz w:val="24"/>
          <w:lang w:val="en-US" w:eastAsia="zh-CN" w:bidi="ar-SA"/>
        </w:rPr>
        <w:t>二、项目名称：</w:t>
      </w:r>
      <w:r>
        <w:rPr>
          <w:rStyle w:val="20"/>
          <w:rFonts w:hint="eastAsia" w:ascii="宋体" w:hAnsi="宋体" w:eastAsia="宋体" w:cs="宋体"/>
          <w:sz w:val="21"/>
          <w:szCs w:val="21"/>
          <w:u w:val="single"/>
          <w:lang w:val="en-US" w:eastAsia="zh-CN" w:bidi="ar-SA"/>
        </w:rPr>
        <w:t>北京大学医学部科研信息管理平台采购项目</w:t>
      </w:r>
      <w:r>
        <w:rPr>
          <w:rStyle w:val="20"/>
          <w:rFonts w:hint="eastAsia" w:ascii="宋体" w:hAnsi="宋体" w:eastAsia="宋体" w:cs="宋体"/>
          <w:sz w:val="24"/>
          <w:szCs w:val="21"/>
          <w:u w:val="single"/>
          <w:lang w:val="en-US" w:eastAsia="zh-CN" w:bidi="ar-SA"/>
        </w:rPr>
        <w:t xml:space="preserve">  </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4"/>
          <w:szCs w:val="21"/>
          <w:lang w:val="en-US" w:eastAsia="zh-CN" w:bidi="ar-SA"/>
        </w:rPr>
        <w:t>三、</w:t>
      </w:r>
      <w:r>
        <w:rPr>
          <w:rStyle w:val="20"/>
          <w:rFonts w:hint="eastAsia" w:ascii="宋体" w:hAnsi="宋体" w:eastAsia="宋体" w:cs="宋体"/>
          <w:sz w:val="24"/>
          <w:lang w:val="en-US" w:eastAsia="zh-CN" w:bidi="ar-SA"/>
        </w:rPr>
        <w:t>招标内容</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（一）本次招标</w:t>
      </w:r>
      <w:r>
        <w:rPr>
          <w:rStyle w:val="20"/>
          <w:rFonts w:hint="eastAsia" w:ascii="宋体" w:hAnsi="宋体" w:eastAsia="宋体" w:cs="宋体"/>
          <w:sz w:val="21"/>
          <w:szCs w:val="21"/>
          <w:u w:val="single"/>
          <w:lang w:val="en-US" w:eastAsia="zh-CN" w:bidi="ar-SA"/>
        </w:rPr>
        <w:t>共 1 包</w:t>
      </w:r>
      <w:r>
        <w:rPr>
          <w:rStyle w:val="20"/>
          <w:rFonts w:hint="eastAsia" w:ascii="宋体" w:hAnsi="宋体" w:eastAsia="宋体" w:cs="宋体"/>
          <w:sz w:val="21"/>
          <w:szCs w:val="21"/>
          <w:lang w:val="en-US" w:eastAsia="zh-CN" w:bidi="ar-SA"/>
        </w:rPr>
        <w:t xml:space="preserve">： </w:t>
      </w:r>
    </w:p>
    <w:tbl>
      <w:tblPr>
        <w:tblStyle w:val="6"/>
        <w:tblW w:w="800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4483"/>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1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序号</w:t>
            </w:r>
          </w:p>
        </w:tc>
        <w:tc>
          <w:tcPr>
            <w:tcW w:w="448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产品名称</w:t>
            </w:r>
          </w:p>
        </w:tc>
        <w:tc>
          <w:tcPr>
            <w:tcW w:w="232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数量</w:t>
            </w:r>
            <w:r>
              <w:rPr>
                <w:rStyle w:val="20"/>
                <w:rFonts w:hint="eastAsia" w:ascii="宋体" w:hAnsi="宋体" w:eastAsia="宋体" w:cs="宋体"/>
                <w:bCs/>
                <w:sz w:val="21"/>
                <w:szCs w:val="21"/>
                <w:lang w:val="en-US" w:eastAsia="zh-CN" w:bidi="ar-SA"/>
              </w:rPr>
              <w:t>（台/套）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jc w:val="center"/>
        </w:trPr>
        <w:tc>
          <w:tcPr>
            <w:tcW w:w="11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w:t>
            </w:r>
          </w:p>
        </w:tc>
        <w:tc>
          <w:tcPr>
            <w:tcW w:w="448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科研信息管理平台</w:t>
            </w:r>
          </w:p>
        </w:tc>
        <w:tc>
          <w:tcPr>
            <w:tcW w:w="232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1套</w:t>
            </w:r>
          </w:p>
        </w:tc>
      </w:tr>
    </w:tbl>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（二）技术规格要求：详见招标文件第五部分；</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（三）交货期：按合同约定；</w:t>
      </w:r>
    </w:p>
    <w:p>
      <w:pPr>
        <w:spacing w:line="240" w:lineRule="auto"/>
        <w:rPr>
          <w:rStyle w:val="20"/>
          <w:rFonts w:hint="eastAsia" w:ascii="宋体" w:hAnsi="宋体" w:eastAsia="宋体" w:cs="宋体"/>
          <w:sz w:val="21"/>
          <w:szCs w:val="21"/>
          <w:u w:val="single"/>
          <w:lang w:val="en-US" w:eastAsia="zh-CN" w:bidi="ar-SA"/>
        </w:rPr>
      </w:pPr>
      <w:r>
        <w:rPr>
          <w:rStyle w:val="20"/>
          <w:rFonts w:hint="eastAsia" w:ascii="宋体" w:hAnsi="宋体" w:eastAsia="宋体" w:cs="宋体"/>
          <w:sz w:val="21"/>
          <w:szCs w:val="21"/>
          <w:lang w:val="en-US" w:eastAsia="zh-CN" w:bidi="ar-SA"/>
        </w:rPr>
        <w:t>（四）交货地点：</w:t>
      </w:r>
      <w:r>
        <w:rPr>
          <w:rStyle w:val="20"/>
          <w:rFonts w:hint="eastAsia" w:ascii="宋体" w:hAnsi="宋体" w:eastAsia="宋体" w:cs="宋体"/>
          <w:sz w:val="21"/>
          <w:szCs w:val="21"/>
          <w:u w:val="single"/>
          <w:lang w:val="en-US" w:eastAsia="zh-CN" w:bidi="ar-SA"/>
        </w:rPr>
        <w:t>详见招标文件第五部分；</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四、招标文件领取时间、地点和办法</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有投标意向的供应商请于2019年5月29日至2019年6月5日，上午9：00--11：00,下午2:00--4:00，在北京大学医学部设备与实验室管理处购买招标文件，购买标书需提供：营业执照（非三证合一的营业执照还需提供组织机构代码证和税务登记证）、相关代理授权、具有类似项目业绩的合同书以及相关认证（复印件需加盖公章）等。本招标文件每套售价200元人民币，售后不退。</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五、接受投标时间、投标截止时间及开标时间</w:t>
      </w:r>
    </w:p>
    <w:p>
      <w:pPr>
        <w:spacing w:line="240" w:lineRule="auto"/>
        <w:ind w:left="4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接受投标时间：2019年6月18日上午8：30至9：00（北京时间）。 </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投标截止及开标时间：2019年6月18日上午9:00（北京时间）。</w:t>
      </w:r>
    </w:p>
    <w:p>
      <w:pPr>
        <w:spacing w:line="240" w:lineRule="auto"/>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投标截止时间后送达的投标文件将被拒收，在规定时间内所提交的文件不符合相关规定要求的也将被拒收。</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六、投标地点及开标地点：</w:t>
      </w:r>
    </w:p>
    <w:p>
      <w:pPr>
        <w:spacing w:line="240" w:lineRule="auto"/>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北京大学医学部行政楼411会议室。届时请投标人的法定代表人或其授权的投标人代表出席开标仪式。</w:t>
      </w:r>
    </w:p>
    <w:p>
      <w:pPr>
        <w:numPr>
          <w:ilvl w:val="0"/>
          <w:numId w:val="7"/>
        </w:numPr>
        <w:spacing w:line="240" w:lineRule="auto"/>
        <w:ind w:left="0" w:firstLine="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使用单位：北京大学公共卫生学院劳动卫生与环境卫生学系；联系人：石嘉章 ；电话：13666097595。</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八、有意向的厂商可以通过以下方式与招标单位联系：</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采购人名称：北京大学医学部</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招标单位：北京大学医学部设备与实验室管理处</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通讯地址：北京市海淀区学院路38号行政楼305室</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邮编：100191</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联系人：凌思凯  霍莹</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电话：（010）82801359</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 xml:space="preserve">传真：（010）82801647    </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九、发布日期：2019年5月29日</w:t>
      </w:r>
    </w:p>
    <w:p>
      <w:pPr>
        <w:spacing w:line="360" w:lineRule="atLeast"/>
        <w:rPr>
          <w:rStyle w:val="20"/>
          <w:rFonts w:hint="eastAsia" w:ascii="宋体" w:hAnsi="宋体" w:eastAsia="宋体" w:cs="宋体"/>
          <w:sz w:val="21"/>
          <w:szCs w:val="21"/>
          <w:lang w:val="en-US" w:eastAsia="zh-CN" w:bidi="ar-SA"/>
        </w:rPr>
        <w:sectPr>
          <w:pgSz w:w="11906" w:h="16838"/>
          <w:pgMar w:top="1418" w:right="1418" w:bottom="1418" w:left="1701" w:header="851" w:footer="851" w:gutter="0"/>
          <w:lnNumType w:countBy="0"/>
          <w:cols w:space="720" w:num="1"/>
          <w:vAlign w:val="top"/>
          <w:docGrid w:type="lines" w:linePitch="312" w:charSpace="0"/>
        </w:sectPr>
      </w:pPr>
      <w:r>
        <w:rPr>
          <w:rStyle w:val="20"/>
          <w:rFonts w:hint="eastAsia" w:ascii="宋体" w:hAnsi="宋体" w:eastAsia="宋体" w:cs="宋体"/>
          <w:sz w:val="21"/>
          <w:szCs w:val="21"/>
          <w:lang w:val="en-US" w:eastAsia="zh-CN" w:bidi="ar-SA"/>
        </w:rPr>
        <w:t>友情提示：医学部为无烟学校，进入校园区请勿吸烟。</w:t>
      </w:r>
    </w:p>
    <w:p>
      <w:pPr>
        <w:spacing w:line="360" w:lineRule="atLeast"/>
        <w:jc w:val="center"/>
        <w:rPr>
          <w:rStyle w:val="20"/>
          <w:rFonts w:hint="eastAsia" w:ascii="宋体" w:hAnsi="宋体" w:eastAsia="宋体" w:cs="宋体"/>
          <w:b/>
          <w:bCs/>
          <w:sz w:val="24"/>
          <w:szCs w:val="28"/>
          <w:lang w:val="en-US" w:eastAsia="zh-CN" w:bidi="ar-SA"/>
        </w:rPr>
      </w:pPr>
      <w:r>
        <w:rPr>
          <w:rStyle w:val="20"/>
          <w:rFonts w:hint="eastAsia" w:ascii="宋体" w:hAnsi="宋体" w:eastAsia="宋体" w:cs="宋体"/>
          <w:b/>
          <w:bCs/>
          <w:sz w:val="24"/>
          <w:szCs w:val="28"/>
          <w:lang w:val="en-US" w:eastAsia="zh-CN" w:bidi="ar-SA"/>
        </w:rPr>
        <w:t>第二部分 投标人须知前附表</w:t>
      </w:r>
    </w:p>
    <w:p>
      <w:pPr>
        <w:spacing w:line="240" w:lineRule="auto"/>
        <w:ind w:firstLine="420" w:firstLineChars="200"/>
        <w:jc w:val="both"/>
        <w:rPr>
          <w:rStyle w:val="20"/>
          <w:rFonts w:hint="eastAsia" w:ascii="宋体" w:hAnsi="宋体" w:eastAsia="宋体" w:cs="宋体"/>
          <w:sz w:val="21"/>
          <w:szCs w:val="21"/>
          <w:lang w:val="en-US" w:eastAsia="zh-CN" w:bidi="ar-SA"/>
        </w:rPr>
      </w:pPr>
    </w:p>
    <w:tbl>
      <w:tblPr>
        <w:tblStyle w:val="6"/>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415"/>
        <w:gridCol w:w="5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4"/>
                <w:szCs w:val="28"/>
                <w:lang w:val="en-US" w:eastAsia="zh-CN" w:bidi="ar-SA"/>
              </w:rPr>
            </w:pPr>
            <w:r>
              <w:rPr>
                <w:rStyle w:val="20"/>
                <w:rFonts w:hint="eastAsia" w:ascii="宋体" w:hAnsi="宋体" w:eastAsia="宋体" w:cs="宋体"/>
                <w:b/>
                <w:sz w:val="24"/>
                <w:szCs w:val="28"/>
                <w:lang w:val="en-US" w:eastAsia="zh-CN" w:bidi="ar-SA"/>
              </w:rPr>
              <w:t>序号</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4"/>
                <w:szCs w:val="28"/>
                <w:lang w:val="en-US" w:eastAsia="zh-CN" w:bidi="ar-SA"/>
              </w:rPr>
            </w:pPr>
            <w:r>
              <w:rPr>
                <w:rStyle w:val="20"/>
                <w:rFonts w:hint="eastAsia" w:ascii="宋体" w:hAnsi="宋体" w:eastAsia="宋体" w:cs="宋体"/>
                <w:b/>
                <w:sz w:val="24"/>
                <w:szCs w:val="28"/>
                <w:lang w:val="en-US" w:eastAsia="zh-CN" w:bidi="ar-SA"/>
              </w:rPr>
              <w:t>内容</w:t>
            </w:r>
          </w:p>
        </w:tc>
        <w:tc>
          <w:tcPr>
            <w:tcW w:w="588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4"/>
                <w:szCs w:val="28"/>
                <w:lang w:val="en-US" w:eastAsia="zh-CN" w:bidi="ar-SA"/>
              </w:rPr>
            </w:pPr>
            <w:r>
              <w:rPr>
                <w:rStyle w:val="20"/>
                <w:rFonts w:hint="eastAsia" w:ascii="宋体" w:hAnsi="宋体" w:eastAsia="宋体" w:cs="宋体"/>
                <w:b/>
                <w:sz w:val="24"/>
                <w:szCs w:val="28"/>
                <w:lang w:val="en-US" w:eastAsia="zh-CN" w:bidi="ar-SA"/>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2"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1</w:t>
            </w:r>
          </w:p>
        </w:tc>
        <w:tc>
          <w:tcPr>
            <w:tcW w:w="2415" w:type="dxa"/>
            <w:tcBorders>
              <w:top w:val="single" w:color="000000" w:sz="4" w:space="0"/>
              <w:left w:val="single" w:color="000000" w:sz="4" w:space="0"/>
              <w:bottom w:val="single" w:color="000000" w:sz="4" w:space="0"/>
              <w:right w:val="single" w:color="000000" w:sz="4" w:space="0"/>
            </w:tcBorders>
            <w:vAlign w:val="center"/>
          </w:tcPr>
          <w:p>
            <w:pPr>
              <w:pStyle w:val="83"/>
              <w:widowControl/>
              <w:numPr>
                <w:ilvl w:val="0"/>
                <w:numId w:val="0"/>
              </w:numPr>
              <w:spacing w:before="0" w:after="0"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采购人名称</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60"/>
              <w:widowControl/>
              <w:numPr>
                <w:ilvl w:val="0"/>
                <w:numId w:val="0"/>
              </w:numPr>
              <w:spacing w:before="0" w:after="0" w:line="240" w:lineRule="auto"/>
              <w:jc w:val="both"/>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color w:val="000000"/>
                <w:sz w:val="21"/>
                <w:szCs w:val="21"/>
                <w:lang w:val="en-US" w:eastAsia="zh-CN" w:bidi="ar-SA"/>
              </w:rPr>
              <w:t>北京大学医学部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2</w:t>
            </w:r>
          </w:p>
        </w:tc>
        <w:tc>
          <w:tcPr>
            <w:tcW w:w="2415" w:type="dxa"/>
            <w:tcBorders>
              <w:top w:val="single" w:color="000000" w:sz="4" w:space="0"/>
              <w:left w:val="single" w:color="000000" w:sz="4" w:space="0"/>
              <w:bottom w:val="single" w:color="000000" w:sz="4" w:space="0"/>
              <w:right w:val="single" w:color="000000" w:sz="4" w:space="0"/>
            </w:tcBorders>
            <w:vAlign w:val="center"/>
          </w:tcPr>
          <w:p>
            <w:pPr>
              <w:pStyle w:val="83"/>
              <w:widowControl/>
              <w:numPr>
                <w:ilvl w:val="0"/>
                <w:numId w:val="0"/>
              </w:numPr>
              <w:spacing w:before="156" w:after="156"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投标人的资质要求</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40"/>
              <w:widowControl/>
              <w:tabs>
                <w:tab w:val="bar" w:leader="underscore" w:pos="425"/>
                <w:tab w:val="right" w:pos="732"/>
              </w:tabs>
              <w:spacing w:line="240" w:lineRule="auto"/>
              <w:jc w:val="both"/>
              <w:rPr>
                <w:rStyle w:val="20"/>
                <w:rFonts w:hint="eastAsia" w:ascii="宋体" w:hAnsi="宋体" w:eastAsia="宋体" w:cs="宋体"/>
                <w:bCs/>
                <w:kern w:val="2"/>
                <w:sz w:val="21"/>
                <w:szCs w:val="20"/>
                <w:lang w:val="en-US" w:eastAsia="zh-CN" w:bidi="ar-SA"/>
              </w:rPr>
            </w:pPr>
            <w:r>
              <w:rPr>
                <w:rStyle w:val="20"/>
                <w:rFonts w:hint="eastAsia" w:ascii="宋体" w:hAnsi="宋体" w:eastAsia="宋体" w:cs="宋体"/>
                <w:kern w:val="2"/>
                <w:sz w:val="21"/>
                <w:szCs w:val="20"/>
                <w:lang w:val="en-US" w:eastAsia="zh-CN" w:bidi="ar-SA"/>
              </w:rPr>
              <w:t>独立法人资格，需提交企业法人营业执照复印件作为证明；所投系统需公司自主研发，旗下具有软件著作权证以证明其开发能力，可根据用户需求进行个性化定制开发，需提供相关证明文件；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3</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是否允许代理商投标</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60"/>
              <w:widowControl/>
              <w:numPr>
                <w:ilvl w:val="0"/>
                <w:numId w:val="0"/>
              </w:numPr>
              <w:spacing w:before="156" w:after="156" w:line="240" w:lineRule="auto"/>
              <w:jc w:val="both"/>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color w:val="000000"/>
                <w:sz w:val="21"/>
                <w:szCs w:val="21"/>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4</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代理商应提交资料</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40"/>
              <w:widowControl/>
              <w:spacing w:before="156" w:after="156" w:line="240" w:lineRule="auto"/>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5</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本次招标需要提供厂家授权的产品或服务清单</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40"/>
              <w:widowControl/>
              <w:spacing w:before="156" w:after="156" w:line="240" w:lineRule="auto"/>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2"/>
                <w:sz w:val="21"/>
                <w:szCs w:val="21"/>
                <w:lang w:val="en-US" w:eastAsia="zh-CN" w:bidi="ar-SA"/>
              </w:rPr>
              <w:t>*科研信息管理平台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6</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是否允许联合体投标</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40"/>
              <w:widowControl/>
              <w:spacing w:before="156" w:after="156" w:line="240" w:lineRule="auto"/>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7</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投标人应提交的</w:t>
            </w:r>
          </w:p>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商务文件</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40"/>
              <w:widowControl/>
              <w:numPr>
                <w:ilvl w:val="0"/>
                <w:numId w:val="8"/>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投标人应答索引表；</w:t>
            </w:r>
          </w:p>
          <w:p>
            <w:pPr>
              <w:pStyle w:val="40"/>
              <w:widowControl/>
              <w:numPr>
                <w:ilvl w:val="0"/>
                <w:numId w:val="8"/>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*投标函；</w:t>
            </w:r>
          </w:p>
          <w:p>
            <w:pPr>
              <w:pStyle w:val="40"/>
              <w:widowControl/>
              <w:numPr>
                <w:ilvl w:val="0"/>
                <w:numId w:val="8"/>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*法定代表人授权委托书；</w:t>
            </w:r>
          </w:p>
          <w:p>
            <w:pPr>
              <w:pStyle w:val="40"/>
              <w:widowControl/>
              <w:numPr>
                <w:ilvl w:val="0"/>
                <w:numId w:val="8"/>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1"/>
                <w:lang w:val="en-US" w:eastAsia="zh-CN" w:bidi="ar-SA"/>
              </w:rPr>
              <w:t>*营业执照副本复印件，并加盖投标人公章（按规定需要年检的，年检章要清楚）</w:t>
            </w:r>
            <w:r>
              <w:rPr>
                <w:rStyle w:val="20"/>
                <w:rFonts w:hint="eastAsia" w:ascii="宋体" w:hAnsi="宋体" w:eastAsia="宋体" w:cs="宋体"/>
                <w:kern w:val="0"/>
                <w:sz w:val="21"/>
                <w:szCs w:val="20"/>
                <w:lang w:val="en-US" w:eastAsia="zh-CN" w:bidi="ar-SA"/>
              </w:rPr>
              <w:t>；</w:t>
            </w:r>
          </w:p>
          <w:p>
            <w:pPr>
              <w:pStyle w:val="40"/>
              <w:widowControl/>
              <w:numPr>
                <w:ilvl w:val="0"/>
                <w:numId w:val="8"/>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*按照“代理商应提交资料”规定提交的相关证明文件；</w:t>
            </w:r>
          </w:p>
          <w:p>
            <w:pPr>
              <w:pStyle w:val="40"/>
              <w:widowControl/>
              <w:numPr>
                <w:ilvl w:val="0"/>
                <w:numId w:val="8"/>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货物质量和服务质量认证（ISO9001等）文件（复印件加盖投标人公章）；</w:t>
            </w:r>
          </w:p>
          <w:p>
            <w:pPr>
              <w:pStyle w:val="40"/>
              <w:widowControl/>
              <w:numPr>
                <w:ilvl w:val="0"/>
                <w:numId w:val="8"/>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提供开标日起近36个月内，与本项目相关的其他软件产品采购项目案例介绍（项目名称、项目基本内容、项目单位名称、 项目单位地址等），并提供与用户签订的合同首页、标的所在页、签字盖章页（被解约的合同不得填报）；</w:t>
            </w:r>
          </w:p>
          <w:p>
            <w:pPr>
              <w:pStyle w:val="40"/>
              <w:widowControl/>
              <w:numPr>
                <w:ilvl w:val="0"/>
                <w:numId w:val="8"/>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*最近一期财务审计报告、资产负债表、现金流量表或开标日前三个月内的资信证明。</w:t>
            </w:r>
          </w:p>
          <w:p>
            <w:pPr>
              <w:pStyle w:val="40"/>
              <w:widowControl/>
              <w:numPr>
                <w:ilvl w:val="0"/>
                <w:numId w:val="8"/>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*商务条款偏离表；</w:t>
            </w:r>
          </w:p>
          <w:p>
            <w:pPr>
              <w:pStyle w:val="40"/>
              <w:widowControl/>
              <w:numPr>
                <w:ilvl w:val="0"/>
                <w:numId w:val="8"/>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*在开标日前三年内在经营活动中没有重大违法记录的书面声明（加盖投标人公章）；</w:t>
            </w:r>
          </w:p>
          <w:p>
            <w:pPr>
              <w:pStyle w:val="40"/>
              <w:widowControl/>
              <w:numPr>
                <w:ilvl w:val="0"/>
                <w:numId w:val="8"/>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依法缴纳税收和社会保险费的相关证明材料（近六个月内，不少于三个月，复印件加盖投标人公章）；</w:t>
            </w:r>
          </w:p>
          <w:p>
            <w:pPr>
              <w:pStyle w:val="40"/>
              <w:widowControl/>
              <w:tabs>
                <w:tab w:val="bar" w:leader="underscore" w:pos="425"/>
                <w:tab w:val="right" w:pos="732"/>
              </w:tabs>
              <w:spacing w:line="240" w:lineRule="auto"/>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 xml:space="preserve">12. </w:t>
            </w:r>
            <w:r>
              <w:rPr>
                <w:rStyle w:val="20"/>
                <w:rFonts w:hint="eastAsia" w:ascii="宋体" w:hAnsi="宋体" w:eastAsia="宋体" w:cs="宋体"/>
                <w:kern w:val="2"/>
                <w:sz w:val="21"/>
                <w:szCs w:val="21"/>
                <w:lang w:val="en-US" w:eastAsia="zh-CN" w:bidi="ar-SA"/>
              </w:rPr>
              <w:t>如投标人不能直接签订进出口合同，需明确提供其境外签约公司信息（境外注册信息及证明两者之间关系的材料）</w:t>
            </w:r>
          </w:p>
          <w:p>
            <w:pPr>
              <w:pStyle w:val="40"/>
              <w:widowControl/>
              <w:tabs>
                <w:tab w:val="right" w:pos="732"/>
              </w:tabs>
              <w:spacing w:line="240" w:lineRule="auto"/>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13. 投标人认为需要提供的其他商务资料。</w:t>
            </w:r>
          </w:p>
          <w:p>
            <w:pPr>
              <w:pStyle w:val="40"/>
              <w:widowControl/>
              <w:spacing w:line="240" w:lineRule="auto"/>
              <w:ind w:left="252"/>
              <w:jc w:val="both"/>
              <w:rPr>
                <w:rStyle w:val="20"/>
                <w:rFonts w:hint="eastAsia" w:ascii="宋体" w:hAnsi="宋体" w:eastAsia="宋体" w:cs="宋体"/>
                <w:b/>
                <w:kern w:val="2"/>
                <w:sz w:val="21"/>
                <w:szCs w:val="28"/>
                <w:lang w:val="en-US" w:eastAsia="zh-CN" w:bidi="ar-SA"/>
              </w:rPr>
            </w:pPr>
          </w:p>
          <w:p>
            <w:pPr>
              <w:pStyle w:val="40"/>
              <w:widowControl/>
              <w:spacing w:line="240" w:lineRule="auto"/>
              <w:ind w:left="252"/>
              <w:jc w:val="both"/>
              <w:rPr>
                <w:rStyle w:val="20"/>
                <w:rFonts w:hint="eastAsia" w:ascii="宋体" w:hAnsi="宋体" w:eastAsia="宋体" w:cs="宋体"/>
                <w:b/>
                <w:kern w:val="2"/>
                <w:sz w:val="21"/>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8</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投标人应提交的</w:t>
            </w:r>
          </w:p>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技术文件</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40"/>
              <w:widowControl/>
              <w:numPr>
                <w:ilvl w:val="0"/>
                <w:numId w:val="9"/>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 xml:space="preserve">*开标一览表； </w:t>
            </w:r>
          </w:p>
          <w:p>
            <w:pPr>
              <w:pStyle w:val="40"/>
              <w:widowControl/>
              <w:numPr>
                <w:ilvl w:val="0"/>
                <w:numId w:val="9"/>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*投标货物数量、价格表；</w:t>
            </w:r>
          </w:p>
          <w:p>
            <w:pPr>
              <w:pStyle w:val="40"/>
              <w:widowControl/>
              <w:numPr>
                <w:ilvl w:val="0"/>
                <w:numId w:val="9"/>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*投标货物技术规范偏离表（逐条应答）；</w:t>
            </w:r>
          </w:p>
          <w:p>
            <w:pPr>
              <w:pStyle w:val="40"/>
              <w:widowControl/>
              <w:numPr>
                <w:ilvl w:val="0"/>
                <w:numId w:val="9"/>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投标人自行编写的技术文件（详见本表第9项）；</w:t>
            </w:r>
          </w:p>
          <w:p>
            <w:pPr>
              <w:pStyle w:val="40"/>
              <w:widowControl/>
              <w:numPr>
                <w:ilvl w:val="0"/>
                <w:numId w:val="9"/>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投标货物的说明书等技术文件（产品合格证、安装操作手册、使用说明、维修保养手册、仪器结构示意图、消耗品清单等资料）：</w:t>
            </w:r>
          </w:p>
          <w:p>
            <w:pPr>
              <w:pStyle w:val="40"/>
              <w:widowControl/>
              <w:numPr>
                <w:ilvl w:val="0"/>
                <w:numId w:val="9"/>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投标货物配件、耗材、选件表和特殊工具及备件清单；</w:t>
            </w:r>
          </w:p>
          <w:p>
            <w:pPr>
              <w:pStyle w:val="40"/>
              <w:widowControl/>
              <w:numPr>
                <w:ilvl w:val="0"/>
                <w:numId w:val="9"/>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投标货物售后服务、技术培训、维修和服务计划表（货物技术支持、和售后服务的程序、内容及措施）；</w:t>
            </w:r>
          </w:p>
          <w:p>
            <w:pPr>
              <w:pStyle w:val="40"/>
              <w:widowControl/>
              <w:numPr>
                <w:ilvl w:val="0"/>
                <w:numId w:val="9"/>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售后维修服务网点明细表</w:t>
            </w:r>
          </w:p>
          <w:p>
            <w:pPr>
              <w:pStyle w:val="40"/>
              <w:widowControl/>
              <w:numPr>
                <w:ilvl w:val="0"/>
                <w:numId w:val="9"/>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*投标货物的保修期声明</w:t>
            </w:r>
          </w:p>
          <w:p>
            <w:pPr>
              <w:pStyle w:val="40"/>
              <w:widowControl/>
              <w:numPr>
                <w:ilvl w:val="0"/>
                <w:numId w:val="9"/>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投标人服务项目偏离表</w:t>
            </w:r>
          </w:p>
          <w:p>
            <w:pPr>
              <w:pStyle w:val="40"/>
              <w:widowControl/>
              <w:numPr>
                <w:ilvl w:val="0"/>
                <w:numId w:val="9"/>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招标文件要求和投标人认为需要提供的其它说明和资料。</w:t>
            </w:r>
          </w:p>
          <w:p>
            <w:pPr>
              <w:pStyle w:val="40"/>
              <w:widowControl/>
              <w:numPr>
                <w:ilvl w:val="0"/>
                <w:numId w:val="9"/>
              </w:numPr>
              <w:tabs>
                <w:tab w:val="bar" w:leader="underscore" w:pos="425"/>
                <w:tab w:val="right" w:pos="732"/>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0"/>
                <w:sz w:val="21"/>
                <w:szCs w:val="20"/>
                <w:lang w:val="en-US" w:eastAsia="zh-CN" w:bidi="ar-SA"/>
              </w:rPr>
              <w:t>投标人认为需要提供的其它说明和资料。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9</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投标人自行编写的</w:t>
            </w:r>
          </w:p>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技术文件</w:t>
            </w:r>
          </w:p>
        </w:tc>
        <w:tc>
          <w:tcPr>
            <w:tcW w:w="5880" w:type="dxa"/>
            <w:tcBorders>
              <w:top w:val="single" w:color="000000" w:sz="4" w:space="0"/>
              <w:left w:val="single" w:color="000000" w:sz="4" w:space="0"/>
              <w:bottom w:val="single" w:color="000000" w:sz="4" w:space="0"/>
              <w:right w:val="single" w:color="000000" w:sz="4" w:space="0"/>
            </w:tcBorders>
            <w:vAlign w:val="center"/>
          </w:tcPr>
          <w:p>
            <w:pPr>
              <w:numPr>
                <w:ilvl w:val="0"/>
                <w:numId w:val="10"/>
              </w:numPr>
              <w:tabs>
                <w:tab w:val="bar" w:pos="425"/>
                <w:tab w:val="decimal" w:pos="900"/>
              </w:tabs>
              <w:spacing w:line="240" w:lineRule="auto"/>
              <w:ind w:left="425" w:hanging="425"/>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投标仪器设备主要技术指标和性能的详细描述</w:t>
            </w:r>
          </w:p>
          <w:p>
            <w:pPr>
              <w:numPr>
                <w:ilvl w:val="0"/>
                <w:numId w:val="10"/>
              </w:numPr>
              <w:tabs>
                <w:tab w:val="bar" w:pos="425"/>
                <w:tab w:val="decimal" w:pos="900"/>
              </w:tabs>
              <w:spacing w:line="240" w:lineRule="auto"/>
              <w:ind w:left="425" w:hanging="425"/>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*详细的交货清单</w:t>
            </w:r>
          </w:p>
          <w:p>
            <w:pPr>
              <w:numPr>
                <w:ilvl w:val="0"/>
                <w:numId w:val="10"/>
              </w:numPr>
              <w:tabs>
                <w:tab w:val="bar" w:pos="425"/>
                <w:tab w:val="decimal" w:pos="900"/>
              </w:tabs>
              <w:spacing w:line="240" w:lineRule="auto"/>
              <w:ind w:left="425" w:hanging="425"/>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货物安装、验收标准</w:t>
            </w:r>
          </w:p>
          <w:p>
            <w:pPr>
              <w:pStyle w:val="40"/>
              <w:widowControl/>
              <w:numPr>
                <w:ilvl w:val="0"/>
                <w:numId w:val="10"/>
              </w:numPr>
              <w:tabs>
                <w:tab w:val="center" w:pos="425"/>
              </w:tabs>
              <w:spacing w:line="240" w:lineRule="auto"/>
              <w:ind w:left="425" w:hanging="425"/>
              <w:jc w:val="both"/>
              <w:rPr>
                <w:rStyle w:val="20"/>
                <w:rFonts w:hint="eastAsia" w:ascii="宋体" w:hAnsi="宋体" w:eastAsia="宋体" w:cs="宋体"/>
                <w:kern w:val="0"/>
                <w:sz w:val="21"/>
                <w:szCs w:val="20"/>
                <w:lang w:val="en-US" w:eastAsia="zh-CN" w:bidi="ar-SA"/>
              </w:rPr>
            </w:pPr>
            <w:r>
              <w:rPr>
                <w:rStyle w:val="20"/>
                <w:rFonts w:hint="eastAsia" w:ascii="宋体" w:hAnsi="宋体" w:eastAsia="宋体" w:cs="宋体"/>
                <w:kern w:val="2"/>
                <w:sz w:val="21"/>
                <w:szCs w:val="21"/>
                <w:lang w:val="en-US" w:eastAsia="zh-CN" w:bidi="ar-SA"/>
              </w:rPr>
              <w:t>其他需要说明问题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10</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投标保证金额</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40"/>
              <w:widowControl/>
              <w:spacing w:line="240" w:lineRule="auto"/>
              <w:jc w:val="both"/>
              <w:rPr>
                <w:rStyle w:val="20"/>
                <w:rFonts w:hint="eastAsia" w:ascii="宋体" w:hAnsi="宋体" w:eastAsia="宋体" w:cs="宋体"/>
                <w:b/>
                <w:kern w:val="2"/>
                <w:sz w:val="21"/>
                <w:szCs w:val="21"/>
                <w:lang w:val="en-US" w:eastAsia="zh-CN" w:bidi="ar-SA"/>
              </w:rPr>
            </w:pPr>
            <w:r>
              <w:rPr>
                <w:rStyle w:val="20"/>
                <w:rFonts w:hint="eastAsia" w:ascii="宋体" w:hAnsi="宋体" w:eastAsia="宋体" w:cs="宋体"/>
                <w:kern w:val="2"/>
                <w:sz w:val="21"/>
                <w:szCs w:val="21"/>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11</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是否接受可选择或可调整的投标和报价</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60"/>
              <w:widowControl/>
              <w:numPr>
                <w:ilvl w:val="0"/>
                <w:numId w:val="0"/>
              </w:numPr>
              <w:spacing w:before="156" w:after="156" w:line="240" w:lineRule="auto"/>
              <w:jc w:val="both"/>
              <w:rPr>
                <w:rStyle w:val="20"/>
                <w:rFonts w:hint="eastAsia" w:ascii="宋体" w:hAnsi="宋体" w:eastAsia="宋体" w:cs="宋体"/>
                <w:b/>
                <w:color w:val="000000"/>
                <w:sz w:val="21"/>
                <w:szCs w:val="21"/>
                <w:lang w:val="en-US" w:eastAsia="zh-CN" w:bidi="ar-SA"/>
              </w:rPr>
            </w:pPr>
            <w:r>
              <w:rPr>
                <w:rStyle w:val="20"/>
                <w:rFonts w:hint="eastAsia" w:ascii="宋体" w:hAnsi="宋体" w:eastAsia="宋体" w:cs="宋体"/>
                <w:color w:val="000000"/>
                <w:sz w:val="21"/>
                <w:szCs w:val="21"/>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12</w:t>
            </w:r>
          </w:p>
        </w:tc>
        <w:tc>
          <w:tcPr>
            <w:tcW w:w="2415" w:type="dxa"/>
            <w:tcBorders>
              <w:top w:val="single" w:color="000000" w:sz="4" w:space="0"/>
              <w:left w:val="single" w:color="000000" w:sz="4" w:space="0"/>
              <w:bottom w:val="single" w:color="000000" w:sz="4" w:space="0"/>
              <w:right w:val="single" w:color="000000" w:sz="4" w:space="0"/>
            </w:tcBorders>
            <w:vAlign w:val="center"/>
          </w:tcPr>
          <w:p>
            <w:pPr>
              <w:pStyle w:val="74"/>
              <w:widowControl/>
              <w:numPr>
                <w:ilvl w:val="0"/>
                <w:numId w:val="0"/>
              </w:numPr>
              <w:spacing w:before="0" w:after="0"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是否允许投标人将项目非主体、非关键性工作交由他人完成</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60"/>
              <w:widowControl/>
              <w:numPr>
                <w:ilvl w:val="0"/>
                <w:numId w:val="0"/>
              </w:numPr>
              <w:spacing w:before="0" w:after="0" w:line="240" w:lineRule="auto"/>
              <w:jc w:val="both"/>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color w:val="000000"/>
                <w:sz w:val="21"/>
                <w:szCs w:val="21"/>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13</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现场踏勘</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60"/>
              <w:widowControl/>
              <w:numPr>
                <w:ilvl w:val="0"/>
                <w:numId w:val="0"/>
              </w:numPr>
              <w:spacing w:before="0" w:after="0" w:line="240" w:lineRule="auto"/>
              <w:jc w:val="both"/>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color w:val="000000"/>
                <w:sz w:val="21"/>
                <w:szCs w:val="21"/>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8"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14</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投标文件有效期</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60"/>
              <w:widowControl/>
              <w:numPr>
                <w:ilvl w:val="0"/>
                <w:numId w:val="0"/>
              </w:numPr>
              <w:spacing w:before="0" w:after="0" w:line="240" w:lineRule="auto"/>
              <w:jc w:val="both"/>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color w:val="000000"/>
                <w:sz w:val="21"/>
                <w:szCs w:val="21"/>
                <w:lang w:val="en-US" w:eastAsia="zh-CN" w:bidi="ar-SA"/>
              </w:rPr>
              <w:t>180日历天（从开标日起计算）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8"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15</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投标文件份数</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60"/>
              <w:widowControl/>
              <w:numPr>
                <w:ilvl w:val="0"/>
                <w:numId w:val="0"/>
              </w:numPr>
              <w:spacing w:before="0" w:after="0" w:line="240" w:lineRule="auto"/>
              <w:jc w:val="both"/>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color w:val="000000"/>
                <w:sz w:val="21"/>
                <w:szCs w:val="21"/>
                <w:lang w:val="en-US" w:eastAsia="zh-CN" w:bidi="ar-SA"/>
              </w:rPr>
              <w:t>投标文件一式7份，其中正本1份，副本6份，单独密封的开标一览表正本1份，电子投标文件1份。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16</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是否允许进口产品投标</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60"/>
              <w:widowControl/>
              <w:numPr>
                <w:ilvl w:val="0"/>
                <w:numId w:val="0"/>
              </w:numPr>
              <w:spacing w:before="0" w:after="0" w:line="240" w:lineRule="auto"/>
              <w:jc w:val="both"/>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color w:val="000000"/>
                <w:sz w:val="21"/>
                <w:szCs w:val="21"/>
                <w:lang w:val="en-US" w:eastAsia="zh-CN" w:bidi="ar-SA"/>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3"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17</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是否允许投标担保、履约担保与融资担保</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60"/>
              <w:widowControl/>
              <w:numPr>
                <w:ilvl w:val="0"/>
                <w:numId w:val="0"/>
              </w:numPr>
              <w:spacing w:before="0" w:after="0" w:line="240" w:lineRule="auto"/>
              <w:jc w:val="both"/>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color w:val="000000"/>
                <w:sz w:val="21"/>
                <w:szCs w:val="21"/>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7"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18</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是否允许讲标</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60"/>
              <w:widowControl/>
              <w:numPr>
                <w:ilvl w:val="0"/>
                <w:numId w:val="0"/>
              </w:numPr>
              <w:spacing w:before="0" w:after="0" w:line="240" w:lineRule="auto"/>
              <w:jc w:val="both"/>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color w:val="000000"/>
                <w:sz w:val="21"/>
                <w:szCs w:val="32"/>
                <w:lang w:val="en-US" w:eastAsia="zh-CN" w:bidi="ar-SA"/>
              </w:rPr>
              <w:t>是，</w:t>
            </w:r>
            <w:r>
              <w:rPr>
                <w:rFonts w:hint="eastAsia" w:ascii="宋体" w:hAnsi="宋体" w:eastAsia="宋体" w:cs="宋体"/>
                <w:color w:val="auto"/>
                <w:szCs w:val="21"/>
              </w:rPr>
              <w:t>每家投标人请自行准备幻灯片，时间为5分钟</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根据评审专家要求进行投标方案介绍及回答专家问题。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7"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19</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节能环保要求</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60"/>
              <w:widowControl/>
              <w:numPr>
                <w:ilvl w:val="0"/>
                <w:numId w:val="0"/>
              </w:numPr>
              <w:spacing w:before="0" w:after="0" w:line="240" w:lineRule="auto"/>
              <w:jc w:val="both"/>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color w:val="000000"/>
                <w:sz w:val="21"/>
                <w:szCs w:val="21"/>
                <w:lang w:val="en-US" w:eastAsia="zh-CN" w:bidi="ar-SA"/>
              </w:rPr>
              <w:t>施行优先采购的产品按照优先采购执行。如是节能产品，应列入《财政部、国家发展改革委关于调整节能产品政府采购清单的通知》中公布的清单，投标文件需提供该产品所在的环保或节能产品政府采购清单页，并加盖投标人公章；施行强制采购的产品按照强制采购执行。</w:t>
            </w:r>
          </w:p>
          <w:p>
            <w:pPr>
              <w:pStyle w:val="60"/>
              <w:widowControl/>
              <w:numPr>
                <w:ilvl w:val="0"/>
                <w:numId w:val="0"/>
              </w:numPr>
              <w:spacing w:before="0" w:after="0" w:line="240" w:lineRule="auto"/>
              <w:jc w:val="both"/>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color w:val="000000"/>
                <w:sz w:val="21"/>
                <w:szCs w:val="21"/>
                <w:lang w:val="en-US" w:eastAsia="zh-CN" w:bidi="ar-SA"/>
              </w:rPr>
              <w:t>注：</w:t>
            </w:r>
          </w:p>
          <w:p>
            <w:pPr>
              <w:pStyle w:val="60"/>
              <w:widowControl/>
              <w:numPr>
                <w:ilvl w:val="0"/>
                <w:numId w:val="0"/>
              </w:numPr>
              <w:spacing w:before="0" w:after="0" w:line="240" w:lineRule="auto"/>
              <w:jc w:val="both"/>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color w:val="000000"/>
                <w:sz w:val="21"/>
                <w:szCs w:val="21"/>
                <w:lang w:val="en-US" w:eastAsia="zh-CN" w:bidi="ar-SA"/>
              </w:rPr>
              <w:t>a.政府强制采购节能产品以最新一期节能产品政府采购清单中标识"*"的产品为准；</w:t>
            </w:r>
          </w:p>
          <w:p>
            <w:pPr>
              <w:pStyle w:val="60"/>
              <w:widowControl/>
              <w:numPr>
                <w:ilvl w:val="0"/>
                <w:numId w:val="0"/>
              </w:numPr>
              <w:spacing w:before="0" w:after="0" w:line="240" w:lineRule="auto"/>
              <w:jc w:val="both"/>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color w:val="000000"/>
                <w:sz w:val="21"/>
                <w:szCs w:val="21"/>
                <w:lang w:val="en-US" w:eastAsia="zh-CN" w:bidi="ar-SA"/>
              </w:rPr>
              <w:t>b.上述最新一期节能产品政府采购清单指采购公告发布时最新一期清单或投标截止日期前最新一期的清单。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8"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20</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b/>
                <w:sz w:val="21"/>
                <w:szCs w:val="28"/>
                <w:lang w:val="en-US" w:eastAsia="zh-CN" w:bidi="ar-SA"/>
              </w:rPr>
            </w:pPr>
            <w:r>
              <w:rPr>
                <w:rStyle w:val="20"/>
                <w:rFonts w:hint="eastAsia" w:ascii="宋体" w:hAnsi="宋体" w:eastAsia="宋体" w:cs="宋体"/>
                <w:b/>
                <w:sz w:val="21"/>
                <w:szCs w:val="28"/>
                <w:lang w:val="en-US" w:eastAsia="zh-CN" w:bidi="ar-SA"/>
              </w:rPr>
              <w:t>其他事项</w:t>
            </w:r>
          </w:p>
        </w:tc>
        <w:tc>
          <w:tcPr>
            <w:tcW w:w="5880" w:type="dxa"/>
            <w:tcBorders>
              <w:top w:val="single" w:color="000000" w:sz="4" w:space="0"/>
              <w:left w:val="single" w:color="000000" w:sz="4" w:space="0"/>
              <w:bottom w:val="single" w:color="000000" w:sz="4" w:space="0"/>
              <w:right w:val="single" w:color="000000" w:sz="4" w:space="0"/>
            </w:tcBorders>
            <w:vAlign w:val="center"/>
          </w:tcPr>
          <w:p>
            <w:pPr>
              <w:pStyle w:val="60"/>
              <w:widowControl/>
              <w:numPr>
                <w:ilvl w:val="0"/>
                <w:numId w:val="0"/>
              </w:numPr>
              <w:spacing w:before="0" w:after="0" w:line="240" w:lineRule="auto"/>
              <w:ind w:firstLine="211" w:firstLineChars="100"/>
              <w:jc w:val="both"/>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color w:val="000000"/>
                <w:sz w:val="21"/>
                <w:szCs w:val="21"/>
                <w:lang w:val="en-US" w:eastAsia="zh-CN" w:bidi="ar-SA"/>
              </w:rPr>
              <w:t>装订不得采用活页装订，否则，投标将被拒绝，具体装订要求详见第三部分9.2款</w:t>
            </w:r>
            <w:r>
              <w:rPr>
                <w:rStyle w:val="20"/>
                <w:rFonts w:hint="eastAsia" w:ascii="宋体" w:hAnsi="宋体" w:eastAsia="宋体" w:cs="宋体"/>
                <w:color w:val="000000"/>
                <w:sz w:val="21"/>
                <w:szCs w:val="32"/>
                <w:lang w:val="en-US" w:eastAsia="zh-CN" w:bidi="ar-SA"/>
              </w:rPr>
              <w:t>规定</w:t>
            </w:r>
            <w:r>
              <w:rPr>
                <w:rStyle w:val="20"/>
                <w:rFonts w:hint="eastAsia" w:ascii="宋体" w:hAnsi="宋体" w:eastAsia="宋体" w:cs="宋体"/>
                <w:color w:val="000000"/>
                <w:sz w:val="21"/>
                <w:szCs w:val="21"/>
                <w:lang w:val="en-US" w:eastAsia="zh-CN" w:bidi="ar-SA"/>
              </w:rPr>
              <w:t>。</w:t>
            </w:r>
          </w:p>
          <w:p>
            <w:pPr>
              <w:pStyle w:val="60"/>
              <w:widowControl/>
              <w:numPr>
                <w:ilvl w:val="0"/>
                <w:numId w:val="0"/>
              </w:numPr>
              <w:spacing w:before="156" w:after="156" w:line="240" w:lineRule="auto"/>
              <w:ind w:firstLine="211" w:firstLineChars="100"/>
              <w:jc w:val="both"/>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color w:val="000000"/>
                <w:sz w:val="21"/>
                <w:szCs w:val="21"/>
                <w:lang w:val="en-US" w:eastAsia="zh-CN" w:bidi="ar-SA"/>
              </w:rPr>
              <w:t>不按规定对投标文件进行密封和标记的，投标将被拒绝，具体密封和标记要求详见</w:t>
            </w:r>
            <w:r>
              <w:rPr>
                <w:rStyle w:val="20"/>
                <w:rFonts w:hint="eastAsia" w:ascii="宋体" w:hAnsi="宋体" w:eastAsia="宋体" w:cs="宋体"/>
                <w:color w:val="000000"/>
                <w:sz w:val="21"/>
                <w:szCs w:val="32"/>
                <w:lang w:val="en-US" w:eastAsia="zh-CN" w:bidi="ar-SA"/>
              </w:rPr>
              <w:t>第三</w:t>
            </w:r>
            <w:r>
              <w:rPr>
                <w:rStyle w:val="20"/>
                <w:rFonts w:hint="eastAsia" w:ascii="宋体" w:hAnsi="宋体" w:eastAsia="宋体" w:cs="宋体"/>
                <w:color w:val="000000"/>
                <w:sz w:val="21"/>
                <w:szCs w:val="21"/>
                <w:lang w:val="en-US" w:eastAsia="zh-CN" w:bidi="ar-SA"/>
              </w:rPr>
              <w:t>部分13款。</w:t>
            </w:r>
          </w:p>
        </w:tc>
      </w:tr>
    </w:tbl>
    <w:p>
      <w:pPr>
        <w:spacing w:line="240" w:lineRule="auto"/>
        <w:ind w:firstLine="420" w:firstLineChars="20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注：1.本表内容若与投标人须知中的内容不一致，应当以本表内容为准。</w:t>
      </w:r>
    </w:p>
    <w:p>
      <w:pPr>
        <w:pStyle w:val="60"/>
        <w:widowControl/>
        <w:numPr>
          <w:ilvl w:val="0"/>
          <w:numId w:val="0"/>
        </w:numPr>
        <w:spacing w:before="156" w:after="0" w:line="240" w:lineRule="auto"/>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color w:val="000000"/>
          <w:sz w:val="21"/>
          <w:szCs w:val="21"/>
          <w:lang w:val="en-US" w:eastAsia="zh-CN" w:bidi="ar-SA"/>
        </w:rPr>
        <w:t xml:space="preserve">        2.其中加*项目若有缺失或无效，将导致投标被拒绝且不允许在开标后补正。</w:t>
      </w:r>
    </w:p>
    <w:p>
      <w:pPr>
        <w:pStyle w:val="75"/>
        <w:widowControl/>
        <w:spacing w:before="240" w:after="240" w:line="240" w:lineRule="auto"/>
        <w:jc w:val="center"/>
        <w:rPr>
          <w:rStyle w:val="20"/>
          <w:rFonts w:hint="eastAsia" w:ascii="宋体" w:hAnsi="宋体" w:eastAsia="宋体" w:cs="宋体"/>
          <w:b/>
          <w:bCs/>
          <w:kern w:val="44"/>
          <w:sz w:val="28"/>
          <w:szCs w:val="20"/>
          <w:lang w:val="en-US" w:eastAsia="zh-CN" w:bidi="ar-SA"/>
        </w:rPr>
      </w:pPr>
      <w:r>
        <w:rPr>
          <w:rStyle w:val="20"/>
          <w:rFonts w:hint="eastAsia" w:ascii="宋体" w:hAnsi="宋体" w:eastAsia="宋体" w:cs="宋体"/>
          <w:b/>
          <w:bCs/>
          <w:kern w:val="44"/>
          <w:sz w:val="28"/>
          <w:szCs w:val="20"/>
          <w:lang w:val="en-US" w:eastAsia="zh-CN" w:bidi="ar-SA"/>
        </w:rPr>
        <w:br w:type="page"/>
      </w:r>
    </w:p>
    <w:p>
      <w:pPr>
        <w:pStyle w:val="75"/>
        <w:widowControl/>
        <w:spacing w:before="240" w:after="240" w:line="240" w:lineRule="auto"/>
        <w:jc w:val="center"/>
        <w:rPr>
          <w:rStyle w:val="20"/>
          <w:rFonts w:hint="eastAsia" w:ascii="宋体" w:hAnsi="宋体" w:eastAsia="宋体" w:cs="宋体"/>
          <w:b/>
          <w:bCs/>
          <w:kern w:val="44"/>
          <w:sz w:val="21"/>
          <w:szCs w:val="21"/>
          <w:lang w:val="en-US" w:eastAsia="zh-CN" w:bidi="ar-SA"/>
        </w:rPr>
      </w:pPr>
      <w:r>
        <w:rPr>
          <w:rStyle w:val="20"/>
          <w:rFonts w:hint="eastAsia" w:ascii="宋体" w:hAnsi="宋体" w:eastAsia="宋体" w:cs="宋体"/>
          <w:b/>
          <w:bCs/>
          <w:kern w:val="44"/>
          <w:sz w:val="28"/>
          <w:szCs w:val="20"/>
          <w:lang w:val="en-US" w:eastAsia="zh-CN" w:bidi="ar-SA"/>
        </w:rPr>
        <w:t>第三部分  投标人须知</w:t>
      </w:r>
    </w:p>
    <w:p>
      <w:pPr>
        <w:pStyle w:val="12"/>
        <w:keepNext/>
        <w:keepLines/>
        <w:numPr>
          <w:ilvl w:val="1"/>
          <w:numId w:val="1"/>
        </w:numPr>
        <w:spacing w:before="0" w:after="120" w:line="240" w:lineRule="auto"/>
        <w:ind w:left="238" w:firstLine="0"/>
        <w:rPr>
          <w:rStyle w:val="20"/>
          <w:rFonts w:hint="eastAsia" w:ascii="宋体" w:hAnsi="宋体" w:eastAsia="宋体" w:cs="宋体"/>
          <w:b/>
          <w:bCs/>
          <w:sz w:val="24"/>
          <w:szCs w:val="24"/>
          <w:lang w:val="en-US" w:eastAsia="zh-CN" w:bidi="ar-SA"/>
        </w:rPr>
      </w:pPr>
      <w:r>
        <w:rPr>
          <w:rStyle w:val="20"/>
          <w:rFonts w:hint="eastAsia" w:ascii="宋体" w:hAnsi="宋体" w:eastAsia="宋体" w:cs="宋体"/>
          <w:b/>
          <w:bCs/>
          <w:sz w:val="24"/>
          <w:szCs w:val="24"/>
          <w:lang w:val="en-US" w:eastAsia="zh-CN" w:bidi="ar-SA"/>
        </w:rPr>
        <w:t xml:space="preserve">总则     </w:t>
      </w: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本招标文件适用于本文件</w:t>
      </w:r>
      <w:r>
        <w:rPr>
          <w:rStyle w:val="20"/>
          <w:rFonts w:hint="eastAsia" w:ascii="宋体" w:hAnsi="宋体" w:eastAsia="宋体" w:cs="宋体"/>
          <w:sz w:val="21"/>
          <w:szCs w:val="21"/>
          <w:u w:val="single"/>
          <w:lang w:val="en-US" w:eastAsia="zh-CN" w:bidi="ar-SA"/>
        </w:rPr>
        <w:t>第五部分</w:t>
      </w:r>
      <w:r>
        <w:rPr>
          <w:rStyle w:val="20"/>
          <w:rFonts w:hint="eastAsia" w:ascii="宋体" w:hAnsi="宋体" w:eastAsia="宋体" w:cs="宋体"/>
          <w:sz w:val="21"/>
          <w:szCs w:val="21"/>
          <w:lang w:val="en-US" w:eastAsia="zh-CN" w:bidi="ar-SA"/>
        </w:rPr>
        <w:t>中所述货物及相关服务的招标投标。</w:t>
      </w:r>
    </w:p>
    <w:p>
      <w:pPr>
        <w:spacing w:line="360" w:lineRule="atLeast"/>
        <w:jc w:val="both"/>
        <w:rPr>
          <w:rStyle w:val="20"/>
          <w:rFonts w:hint="eastAsia" w:ascii="宋体" w:hAnsi="宋体" w:eastAsia="宋体" w:cs="宋体"/>
          <w:sz w:val="21"/>
          <w:szCs w:val="21"/>
          <w:lang w:val="en-US" w:eastAsia="zh-CN" w:bidi="ar-SA"/>
        </w:rPr>
      </w:pP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定义：</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“采购人”名称详见投标人须知前附表</w:t>
      </w:r>
      <w:r>
        <w:rPr>
          <w:rStyle w:val="20"/>
          <w:rFonts w:hint="eastAsia" w:ascii="宋体" w:hAnsi="宋体" w:eastAsia="宋体" w:cs="宋体"/>
          <w:sz w:val="21"/>
          <w:szCs w:val="21"/>
          <w:u w:val="single"/>
          <w:lang w:val="en-US" w:eastAsia="zh-CN" w:bidi="ar-SA"/>
        </w:rPr>
        <w:t>第1条</w:t>
      </w:r>
      <w:r>
        <w:rPr>
          <w:rStyle w:val="20"/>
          <w:rFonts w:hint="eastAsia" w:ascii="宋体" w:hAnsi="宋体" w:eastAsia="宋体" w:cs="宋体"/>
          <w:sz w:val="21"/>
          <w:szCs w:val="21"/>
          <w:lang w:val="en-US" w:eastAsia="zh-CN" w:bidi="ar-SA"/>
        </w:rPr>
        <w:t>。</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“招标货物”指本招标文件中</w:t>
      </w:r>
      <w:r>
        <w:rPr>
          <w:rStyle w:val="20"/>
          <w:rFonts w:hint="eastAsia" w:ascii="宋体" w:hAnsi="宋体" w:eastAsia="宋体" w:cs="宋体"/>
          <w:sz w:val="21"/>
          <w:szCs w:val="21"/>
          <w:u w:val="single"/>
          <w:lang w:val="en-US" w:eastAsia="zh-CN" w:bidi="ar-SA"/>
        </w:rPr>
        <w:t>第五部分</w:t>
      </w:r>
      <w:r>
        <w:rPr>
          <w:rStyle w:val="20"/>
          <w:rFonts w:hint="eastAsia" w:ascii="宋体" w:hAnsi="宋体" w:eastAsia="宋体" w:cs="宋体"/>
          <w:sz w:val="21"/>
          <w:szCs w:val="21"/>
          <w:lang w:val="en-US" w:eastAsia="zh-CN" w:bidi="ar-SA"/>
        </w:rPr>
        <w:t>所述所有货物。</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6"/>
          <w:rFonts w:hint="eastAsia" w:ascii="宋体" w:hAnsi="宋体" w:eastAsia="宋体" w:cs="宋体"/>
          <w:sz w:val="21"/>
          <w:szCs w:val="21"/>
          <w:lang w:val="en-US" w:eastAsia="zh-CN" w:bidi="ar-SA"/>
        </w:rPr>
        <w:t>“服务”指本招标文件</w:t>
      </w:r>
      <w:r>
        <w:rPr>
          <w:rStyle w:val="26"/>
          <w:rFonts w:hint="eastAsia" w:ascii="宋体" w:hAnsi="宋体" w:eastAsia="宋体" w:cs="宋体"/>
          <w:sz w:val="21"/>
          <w:szCs w:val="21"/>
          <w:u w:val="single"/>
          <w:lang w:val="en-US" w:eastAsia="zh-CN" w:bidi="ar-SA"/>
        </w:rPr>
        <w:t>第五部分</w:t>
      </w:r>
      <w:r>
        <w:rPr>
          <w:rStyle w:val="26"/>
          <w:rFonts w:hint="eastAsia" w:ascii="宋体" w:hAnsi="宋体" w:eastAsia="宋体" w:cs="宋体"/>
          <w:sz w:val="21"/>
          <w:szCs w:val="21"/>
          <w:lang w:val="en-US" w:eastAsia="zh-CN" w:bidi="ar-SA"/>
        </w:rPr>
        <w:t>所述投标人应该履行的承诺和义务。</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“潜在投标人”指符合本招标文件各项规定的合格供应商。</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“投标人”指符合本招标文件规定并参加投标的供应商。</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本招标文件各部分规定的期间以时、日、月、年计算。期间开始的时和日，不计算在期间内，而从次日开始计算。期间届满的最后一天是节假日的，以节假日后的第一日为期间届满的日期。</w:t>
      </w:r>
    </w:p>
    <w:p>
      <w:pPr>
        <w:pStyle w:val="37"/>
        <w:widowControl/>
        <w:spacing w:before="0" w:after="0" w:line="240" w:lineRule="auto"/>
        <w:ind w:left="821" w:hanging="820" w:hangingChars="342"/>
        <w:rPr>
          <w:rStyle w:val="20"/>
          <w:rFonts w:hint="eastAsia" w:ascii="宋体" w:hAnsi="宋体" w:eastAsia="宋体" w:cs="宋体"/>
          <w:sz w:val="24"/>
          <w:szCs w:val="24"/>
          <w:lang w:val="en-US" w:eastAsia="zh-CN" w:bidi="ar-SA"/>
        </w:rPr>
      </w:pP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合格投标人的条件</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具有本项目生产、制造、供应或实施能力，符合、承认并承诺履行本招标文件各项规定的制造厂商，或其中国大陆地区直接代理商均可参加投标。</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投标人应遵守有关的国家法律、法规和条例，具备《中华人民共和国政府采购法》和本招标文件中规定的条件：</w:t>
      </w:r>
    </w:p>
    <w:p>
      <w:pPr>
        <w:tabs>
          <w:tab w:val="bar" w:pos="1200"/>
        </w:tabs>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具有独立承担民事责任的能力；</w:t>
      </w:r>
    </w:p>
    <w:p>
      <w:pPr>
        <w:tabs>
          <w:tab w:val="bar" w:pos="1200"/>
        </w:tabs>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具有良好的商业信誉和健全的财务会计制度；</w:t>
      </w:r>
    </w:p>
    <w:p>
      <w:pPr>
        <w:tabs>
          <w:tab w:val="bar" w:pos="1200"/>
        </w:tabs>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具有履行合同所必需的设备和专业技术能力；</w:t>
      </w:r>
    </w:p>
    <w:p>
      <w:pPr>
        <w:tabs>
          <w:tab w:val="bar" w:pos="1200"/>
        </w:tabs>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具有依法缴纳税收和社会保障资金的良好记录；</w:t>
      </w:r>
    </w:p>
    <w:p>
      <w:pPr>
        <w:tabs>
          <w:tab w:val="bar" w:pos="1200"/>
        </w:tabs>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参加此项采购活动前三年内，在经营活动中没有重大违法记录；</w:t>
      </w:r>
    </w:p>
    <w:p>
      <w:pPr>
        <w:tabs>
          <w:tab w:val="bar" w:pos="1200"/>
        </w:tabs>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具有投标人须知前附表</w:t>
      </w:r>
      <w:r>
        <w:rPr>
          <w:rStyle w:val="20"/>
          <w:rFonts w:hint="eastAsia" w:ascii="宋体" w:hAnsi="宋体" w:eastAsia="宋体" w:cs="宋体"/>
          <w:sz w:val="21"/>
          <w:szCs w:val="21"/>
          <w:u w:val="single"/>
          <w:lang w:val="en-US" w:eastAsia="zh-CN" w:bidi="ar-SA"/>
        </w:rPr>
        <w:t>第2条</w:t>
      </w:r>
      <w:r>
        <w:rPr>
          <w:rStyle w:val="20"/>
          <w:rFonts w:hint="eastAsia" w:ascii="宋体" w:hAnsi="宋体" w:eastAsia="宋体" w:cs="宋体"/>
          <w:sz w:val="21"/>
          <w:szCs w:val="21"/>
          <w:lang w:val="en-US" w:eastAsia="zh-CN" w:bidi="ar-SA"/>
        </w:rPr>
        <w:t>规定的资质条件。</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本次招标是否允许代理商（投标人提供的货物不是自己制造的，下同）投标，以及多家代理商参加同一品牌产品投标的处理规则详见投标人须知前附表</w:t>
      </w:r>
      <w:r>
        <w:rPr>
          <w:rStyle w:val="20"/>
          <w:rFonts w:hint="eastAsia" w:ascii="宋体" w:hAnsi="宋体" w:eastAsia="宋体" w:cs="宋体"/>
          <w:sz w:val="21"/>
          <w:szCs w:val="21"/>
          <w:u w:val="single"/>
          <w:lang w:val="en-US" w:eastAsia="zh-CN" w:bidi="ar-SA"/>
        </w:rPr>
        <w:t>第3条</w:t>
      </w:r>
      <w:r>
        <w:rPr>
          <w:rStyle w:val="20"/>
          <w:rFonts w:hint="eastAsia" w:ascii="宋体" w:hAnsi="宋体" w:eastAsia="宋体" w:cs="宋体"/>
          <w:sz w:val="21"/>
          <w:szCs w:val="21"/>
          <w:lang w:val="en-US" w:eastAsia="zh-CN" w:bidi="ar-SA"/>
        </w:rPr>
        <w:t>。如果允许代理商投标，代理商应遵守下列要求：</w:t>
      </w:r>
    </w:p>
    <w:p>
      <w:pPr>
        <w:numPr>
          <w:ilvl w:val="0"/>
          <w:numId w:val="11"/>
        </w:numPr>
        <w:tabs>
          <w:tab w:val="bar" w:pos="1200"/>
        </w:tabs>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按投标人须知前附表</w:t>
      </w:r>
      <w:r>
        <w:rPr>
          <w:rStyle w:val="20"/>
          <w:rFonts w:hint="eastAsia" w:ascii="宋体" w:hAnsi="宋体" w:eastAsia="宋体" w:cs="宋体"/>
          <w:sz w:val="21"/>
          <w:szCs w:val="21"/>
          <w:u w:val="single"/>
          <w:lang w:val="en-US" w:eastAsia="zh-CN" w:bidi="ar-SA"/>
        </w:rPr>
        <w:t>第4条</w:t>
      </w:r>
      <w:r>
        <w:rPr>
          <w:rStyle w:val="20"/>
          <w:rFonts w:hint="eastAsia" w:ascii="宋体" w:hAnsi="宋体" w:eastAsia="宋体" w:cs="宋体"/>
          <w:sz w:val="21"/>
          <w:szCs w:val="21"/>
          <w:lang w:val="en-US" w:eastAsia="zh-CN" w:bidi="ar-SA"/>
        </w:rPr>
        <w:t>规定提供相关证明材料。</w:t>
      </w:r>
    </w:p>
    <w:p>
      <w:pPr>
        <w:numPr>
          <w:ilvl w:val="0"/>
          <w:numId w:val="11"/>
        </w:numPr>
        <w:tabs>
          <w:tab w:val="bar" w:pos="1200"/>
        </w:tabs>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如果本次招标需要代理商提交投标货物生产制造厂商的授权，代理商应当按照投标人须知前附表</w:t>
      </w:r>
      <w:r>
        <w:rPr>
          <w:rStyle w:val="20"/>
          <w:rFonts w:hint="eastAsia" w:ascii="宋体" w:hAnsi="宋体" w:eastAsia="宋体" w:cs="宋体"/>
          <w:sz w:val="21"/>
          <w:szCs w:val="21"/>
          <w:u w:val="single"/>
          <w:lang w:val="en-US" w:eastAsia="zh-CN" w:bidi="ar-SA"/>
        </w:rPr>
        <w:t>第5条</w:t>
      </w:r>
      <w:r>
        <w:rPr>
          <w:rStyle w:val="20"/>
          <w:rFonts w:hint="eastAsia" w:ascii="宋体" w:hAnsi="宋体" w:eastAsia="宋体" w:cs="宋体"/>
          <w:sz w:val="21"/>
          <w:szCs w:val="21"/>
          <w:lang w:val="en-US" w:eastAsia="zh-CN" w:bidi="ar-SA"/>
        </w:rPr>
        <w:t>厂家授权的设备清单提供授权。</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具有法人资格且与其他法人具有控股关联关系的投标人的特别规则如下：</w:t>
      </w:r>
    </w:p>
    <w:p>
      <w:pPr>
        <w:numPr>
          <w:ilvl w:val="0"/>
          <w:numId w:val="12"/>
        </w:numPr>
        <w:tabs>
          <w:tab w:val="bar" w:pos="1200"/>
        </w:tabs>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或径行决定对该集团、总公司、母公司等连同其下属子公司一并拒绝。</w:t>
      </w:r>
    </w:p>
    <w:p>
      <w:pPr>
        <w:numPr>
          <w:ilvl w:val="0"/>
          <w:numId w:val="12"/>
        </w:numPr>
        <w:tabs>
          <w:tab w:val="bar" w:pos="1200"/>
        </w:tabs>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法定代表为同一个人的两个及两个以上法人、或者具有直接管理和被管理关系的母子公司（含子公司的子公司），参加同一项目的投标时，评审委员会择优选择一家单位（以最终排名顺序）为排名前三的中标候选人。</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本次招标是否允许由两个以上投标人组成一个联合体以一个投标人身份共同投标，详见投标人须知前附表</w:t>
      </w:r>
      <w:r>
        <w:rPr>
          <w:rStyle w:val="20"/>
          <w:rFonts w:hint="eastAsia" w:ascii="宋体" w:hAnsi="宋体" w:eastAsia="宋体" w:cs="宋体"/>
          <w:sz w:val="21"/>
          <w:szCs w:val="21"/>
          <w:u w:val="single"/>
          <w:lang w:val="en-US" w:eastAsia="zh-CN" w:bidi="ar-SA"/>
        </w:rPr>
        <w:t>第6条</w:t>
      </w:r>
      <w:r>
        <w:rPr>
          <w:rStyle w:val="20"/>
          <w:rFonts w:hint="eastAsia" w:ascii="宋体" w:hAnsi="宋体" w:eastAsia="宋体" w:cs="宋体"/>
          <w:sz w:val="21"/>
          <w:szCs w:val="21"/>
          <w:lang w:val="en-US" w:eastAsia="zh-CN" w:bidi="ar-SA"/>
        </w:rPr>
        <w:t>。</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投标人领取招标文件时应登记备案；招标文件从网上下载的，应按照要求在网上进行登记。未进行登记备案的供应商不得参与投标。</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如投标人代表不是法定代表人，须持有《法定代表人授权委托书》( 按招标文件格式填写)。</w:t>
      </w:r>
    </w:p>
    <w:p>
      <w:pPr>
        <w:spacing w:line="360" w:lineRule="atLeast"/>
        <w:jc w:val="both"/>
        <w:rPr>
          <w:rStyle w:val="20"/>
          <w:rFonts w:hint="eastAsia" w:ascii="宋体" w:hAnsi="宋体" w:eastAsia="宋体" w:cs="宋体"/>
          <w:sz w:val="21"/>
          <w:szCs w:val="21"/>
          <w:lang w:val="en-US" w:eastAsia="zh-CN" w:bidi="ar-SA"/>
        </w:rPr>
      </w:pP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投标费用</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投标人应承担所有与准备和参加投标有关的费用，招标单位和采购人在任何情况下均无义务和责任承担这些费用。</w:t>
      </w:r>
    </w:p>
    <w:p>
      <w:pPr>
        <w:pStyle w:val="80"/>
        <w:widowControl/>
        <w:numPr>
          <w:ilvl w:val="0"/>
          <w:numId w:val="0"/>
        </w:numPr>
        <w:tabs>
          <w:tab w:val="decimal" w:leader="hyphen" w:pos="420"/>
        </w:tabs>
        <w:spacing w:line="240" w:lineRule="auto"/>
        <w:jc w:val="both"/>
        <w:rPr>
          <w:rStyle w:val="20"/>
          <w:rFonts w:hint="eastAsia" w:ascii="宋体" w:hAnsi="宋体" w:eastAsia="宋体" w:cs="宋体"/>
          <w:sz w:val="21"/>
          <w:szCs w:val="21"/>
          <w:lang w:val="en-US" w:eastAsia="zh-CN" w:bidi="ar-SA"/>
        </w:rPr>
      </w:pP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通知</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不因此承担任何责任，有关的招标活动可以继续有效地进行。</w:t>
      </w:r>
    </w:p>
    <w:p>
      <w:pPr>
        <w:pStyle w:val="80"/>
        <w:widowControl/>
        <w:numPr>
          <w:ilvl w:val="0"/>
          <w:numId w:val="0"/>
        </w:numPr>
        <w:tabs>
          <w:tab w:val="decimal" w:leader="hyphen" w:pos="420"/>
        </w:tabs>
        <w:spacing w:line="240" w:lineRule="auto"/>
        <w:jc w:val="both"/>
        <w:rPr>
          <w:rStyle w:val="20"/>
          <w:rFonts w:hint="eastAsia" w:ascii="宋体" w:hAnsi="宋体" w:eastAsia="宋体" w:cs="宋体"/>
          <w:sz w:val="21"/>
          <w:szCs w:val="21"/>
          <w:lang w:val="en-US" w:eastAsia="zh-CN" w:bidi="ar-SA"/>
        </w:rPr>
      </w:pPr>
    </w:p>
    <w:p>
      <w:pPr>
        <w:pStyle w:val="12"/>
        <w:keepNext/>
        <w:keepLines/>
        <w:numPr>
          <w:ilvl w:val="1"/>
          <w:numId w:val="1"/>
        </w:numPr>
        <w:spacing w:before="0" w:after="120" w:line="240" w:lineRule="auto"/>
        <w:ind w:left="238" w:firstLine="0"/>
        <w:rPr>
          <w:rStyle w:val="20"/>
          <w:rFonts w:hint="eastAsia" w:ascii="宋体" w:hAnsi="宋体" w:eastAsia="宋体" w:cs="宋体"/>
          <w:b/>
          <w:bCs/>
          <w:sz w:val="24"/>
          <w:szCs w:val="24"/>
          <w:lang w:val="en-US" w:eastAsia="zh-CN" w:bidi="ar-SA"/>
        </w:rPr>
      </w:pPr>
      <w:r>
        <w:rPr>
          <w:rStyle w:val="20"/>
          <w:rFonts w:hint="eastAsia" w:ascii="宋体" w:hAnsi="宋体" w:eastAsia="宋体" w:cs="宋体"/>
          <w:b/>
          <w:bCs/>
          <w:sz w:val="24"/>
          <w:szCs w:val="24"/>
          <w:lang w:val="en-US" w:eastAsia="zh-CN" w:bidi="ar-SA"/>
        </w:rPr>
        <w:t>招标文件</w:t>
      </w: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招标文件</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招标文件由下列</w:t>
      </w:r>
      <w:r>
        <w:rPr>
          <w:rStyle w:val="20"/>
          <w:rFonts w:hint="eastAsia" w:ascii="宋体" w:hAnsi="宋体" w:eastAsia="宋体" w:cs="宋体"/>
          <w:sz w:val="21"/>
          <w:szCs w:val="21"/>
          <w:u w:val="single"/>
          <w:lang w:val="en-US" w:eastAsia="zh-CN" w:bidi="ar-SA"/>
        </w:rPr>
        <w:t>七部分</w:t>
      </w:r>
      <w:r>
        <w:rPr>
          <w:rStyle w:val="20"/>
          <w:rFonts w:hint="eastAsia" w:ascii="宋体" w:hAnsi="宋体" w:eastAsia="宋体" w:cs="宋体"/>
          <w:sz w:val="21"/>
          <w:szCs w:val="21"/>
          <w:lang w:val="en-US" w:eastAsia="zh-CN" w:bidi="ar-SA"/>
        </w:rPr>
        <w:t>内容组成：</w:t>
      </w:r>
    </w:p>
    <w:p>
      <w:pPr>
        <w:spacing w:line="360" w:lineRule="atLeast"/>
        <w:ind w:firstLine="1199" w:firstLineChars="57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第一部分 投标邀请；</w:t>
      </w:r>
    </w:p>
    <w:p>
      <w:pPr>
        <w:spacing w:line="360" w:lineRule="atLeast"/>
        <w:ind w:firstLine="1199" w:firstLineChars="57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第二部分 投标人须知前附表；</w:t>
      </w:r>
    </w:p>
    <w:p>
      <w:pPr>
        <w:spacing w:line="360" w:lineRule="atLeast"/>
        <w:ind w:firstLine="1199" w:firstLineChars="57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第三部分 投标人须知；</w:t>
      </w:r>
    </w:p>
    <w:p>
      <w:pPr>
        <w:spacing w:line="360" w:lineRule="atLeast"/>
        <w:ind w:firstLine="1199" w:firstLineChars="57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第四部分 评标标准和评分方法；</w:t>
      </w:r>
    </w:p>
    <w:p>
      <w:pPr>
        <w:spacing w:line="360" w:lineRule="atLeast"/>
        <w:ind w:firstLine="1199" w:firstLineChars="57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第五部分 招标货物清单、质量要求和供货；</w:t>
      </w:r>
    </w:p>
    <w:p>
      <w:pPr>
        <w:spacing w:line="360" w:lineRule="atLeast"/>
        <w:ind w:firstLine="1199" w:firstLineChars="57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第六部分 合同主要条款；</w:t>
      </w:r>
    </w:p>
    <w:p>
      <w:pPr>
        <w:spacing w:line="360" w:lineRule="atLeast"/>
        <w:ind w:firstLine="1199" w:firstLineChars="57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第七部分 投标文件格式。</w:t>
      </w:r>
    </w:p>
    <w:p>
      <w:pPr>
        <w:spacing w:line="360" w:lineRule="atLeast"/>
        <w:ind w:left="718" w:hanging="718" w:hangingChars="342"/>
        <w:rPr>
          <w:rStyle w:val="20"/>
          <w:rFonts w:hint="eastAsia" w:ascii="宋体" w:hAnsi="宋体" w:eastAsia="宋体" w:cs="宋体"/>
          <w:sz w:val="21"/>
          <w:szCs w:val="21"/>
          <w:lang w:val="en-US" w:eastAsia="zh-CN" w:bidi="ar-SA"/>
        </w:rPr>
      </w:pPr>
    </w:p>
    <w:p>
      <w:pPr>
        <w:pStyle w:val="80"/>
        <w:widowControl/>
        <w:numPr>
          <w:ilvl w:val="0"/>
          <w:numId w:val="4"/>
        </w:numPr>
        <w:snapToGrid w:val="0"/>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投标前招标文件的澄清和修改</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pPr>
        <w:pStyle w:val="80"/>
        <w:widowControl/>
        <w:numPr>
          <w:ilvl w:val="0"/>
          <w:numId w:val="0"/>
        </w:numPr>
        <w:snapToGrid w:val="0"/>
        <w:spacing w:line="240" w:lineRule="auto"/>
        <w:ind w:left="718" w:leftChars="299" w:firstLine="1"/>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按照责权利相一致原则，若招标文件的主要商务、技术指标由采购人提出，则投标人提出的相关澄清、修改要求由采购人负责解释，并应当由采购人视情况作出澄清或修改的决定；若招标文件的主要商务、技术指标由招标单位提出，则相关澄清、修改要求由招标单位负责解释，并应当由招标单位视情况作出澄清或修改的决定。与此相应，相关质疑处理工作也按照此原则由采购人或招标单位进行处理。</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其中至少一种方式，统一向全体，或分别或向每一位(但不可以只向其中一部分)潜在投标人发出澄清、修改或进行其它答复的补充文件，补充文件中可以包括原提出的问题，但不包括问题的来源。</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招标单位主动进行的澄清、修改：招标单位无论出于何种原因，均可主动对招标文件中的相关事项，用补充文件的方式进行澄清和修改。</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单位澄清、修改、其它答复的效力：无论是否根据潜在投标人的澄清、修改或进行其它答复的要求，招标单位一旦对招标文件作出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招标单位将视情况确定是否有必要召开标前会。如果召开标前会，招标单位将向所有已通过公告等方式领取或下载了招标文件的潜在投标人发出通知。</w:t>
      </w:r>
    </w:p>
    <w:p>
      <w:pPr>
        <w:pStyle w:val="80"/>
        <w:widowControl/>
        <w:numPr>
          <w:ilvl w:val="0"/>
          <w:numId w:val="0"/>
        </w:numPr>
        <w:spacing w:line="240" w:lineRule="auto"/>
        <w:jc w:val="both"/>
        <w:rPr>
          <w:rStyle w:val="20"/>
          <w:rFonts w:hint="eastAsia" w:ascii="宋体" w:hAnsi="宋体" w:eastAsia="宋体" w:cs="宋体"/>
          <w:sz w:val="21"/>
          <w:szCs w:val="21"/>
          <w:lang w:val="en-US" w:eastAsia="zh-CN" w:bidi="ar-SA"/>
        </w:rPr>
      </w:pPr>
    </w:p>
    <w:p>
      <w:pPr>
        <w:pStyle w:val="12"/>
        <w:keepNext/>
        <w:keepLines/>
        <w:numPr>
          <w:ilvl w:val="1"/>
          <w:numId w:val="1"/>
        </w:numPr>
        <w:spacing w:before="0" w:after="120" w:line="240" w:lineRule="auto"/>
        <w:ind w:left="238" w:firstLine="0"/>
        <w:rPr>
          <w:rStyle w:val="20"/>
          <w:rFonts w:hint="eastAsia" w:ascii="宋体" w:hAnsi="宋体" w:eastAsia="宋体" w:cs="宋体"/>
          <w:b/>
          <w:bCs/>
          <w:sz w:val="24"/>
          <w:szCs w:val="24"/>
          <w:lang w:val="en-US" w:eastAsia="zh-CN" w:bidi="ar-SA"/>
        </w:rPr>
      </w:pPr>
      <w:r>
        <w:rPr>
          <w:rStyle w:val="20"/>
          <w:rFonts w:hint="eastAsia" w:ascii="宋体" w:hAnsi="宋体" w:eastAsia="宋体" w:cs="宋体"/>
          <w:b/>
          <w:bCs/>
          <w:sz w:val="24"/>
          <w:szCs w:val="24"/>
          <w:lang w:val="en-US" w:eastAsia="zh-CN" w:bidi="ar-SA"/>
        </w:rPr>
        <w:t xml:space="preserve">投标文件     </w:t>
      </w: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投标文件的语言和计量单位</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投标人提交的投标文件（包括技术文件和资料、图纸中的说明）以及投标人与招标单位就有关投标的所有来往函电均应使用中文简体字。</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pStyle w:val="80"/>
        <w:widowControl/>
        <w:numPr>
          <w:ilvl w:val="0"/>
          <w:numId w:val="0"/>
        </w:numPr>
        <w:snapToGrid w:val="0"/>
        <w:spacing w:line="240" w:lineRule="auto"/>
        <w:ind w:left="718" w:hanging="718" w:hangingChars="342"/>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原版为外文的证书类、证明类文件，与投标人名称或其它实际情况不符的，投标人应当提供相关证明文件。</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投标文件所使用的计量单位，应使用国家法定计量单位。</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对违反上述规定情形的，评标委员会有权要求投标人限期提供相应文件或决定对其投标予以拒绝。</w:t>
      </w:r>
    </w:p>
    <w:p>
      <w:pPr>
        <w:spacing w:line="360" w:lineRule="atLeast"/>
        <w:jc w:val="both"/>
        <w:rPr>
          <w:rStyle w:val="20"/>
          <w:rFonts w:hint="eastAsia" w:ascii="宋体" w:hAnsi="宋体" w:eastAsia="宋体" w:cs="宋体"/>
          <w:sz w:val="21"/>
          <w:szCs w:val="21"/>
          <w:lang w:val="en-US" w:eastAsia="zh-CN" w:bidi="ar-SA"/>
        </w:rPr>
      </w:pPr>
    </w:p>
    <w:p>
      <w:pPr>
        <w:pStyle w:val="80"/>
        <w:widowControl/>
        <w:numPr>
          <w:ilvl w:val="0"/>
          <w:numId w:val="4"/>
        </w:numPr>
        <w:snapToGrid w:val="0"/>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投标文件的组成及相关要求</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投标文件分为商务部分和技术部分。</w:t>
      </w:r>
    </w:p>
    <w:p>
      <w:pPr>
        <w:snapToGrid w:val="0"/>
        <w:spacing w:line="360" w:lineRule="atLeast"/>
        <w:ind w:left="720" w:leftChars="30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商务部分指投标人提交的证明其有资格参加投标和中标后有能力履行合同的文件。技术部分指投标人提交的能够证明投标人提供的货物及服务符合招标文件规定的文件。本次招标，投标人应按投标人须知前附表</w:t>
      </w:r>
      <w:r>
        <w:rPr>
          <w:rStyle w:val="20"/>
          <w:rFonts w:hint="eastAsia" w:ascii="宋体" w:hAnsi="宋体" w:eastAsia="宋体" w:cs="宋体"/>
          <w:sz w:val="21"/>
          <w:szCs w:val="21"/>
          <w:u w:val="single"/>
          <w:lang w:val="en-US" w:eastAsia="zh-CN" w:bidi="ar-SA"/>
        </w:rPr>
        <w:t>第7至9条</w:t>
      </w:r>
      <w:r>
        <w:rPr>
          <w:rStyle w:val="20"/>
          <w:rFonts w:hint="eastAsia" w:ascii="宋体" w:hAnsi="宋体" w:eastAsia="宋体" w:cs="宋体"/>
          <w:sz w:val="21"/>
          <w:szCs w:val="21"/>
          <w:lang w:val="en-US" w:eastAsia="zh-CN" w:bidi="ar-SA"/>
        </w:rPr>
        <w:t>规定提交商务文件、技术文件和需要投标人自行编写的其他文件，其中加</w:t>
      </w:r>
      <w:r>
        <w:rPr>
          <w:rStyle w:val="20"/>
          <w:rFonts w:hint="eastAsia" w:ascii="宋体" w:hAnsi="宋体" w:eastAsia="宋体" w:cs="宋体"/>
          <w:spacing w:val="-20"/>
          <w:sz w:val="24"/>
          <w:szCs w:val="21"/>
          <w:lang w:val="en-US" w:eastAsia="zh-CN" w:bidi="ar-SA"/>
        </w:rPr>
        <w:t>*</w:t>
      </w:r>
      <w:r>
        <w:rPr>
          <w:rStyle w:val="20"/>
          <w:rFonts w:hint="eastAsia" w:ascii="宋体" w:hAnsi="宋体" w:eastAsia="宋体" w:cs="宋体"/>
          <w:sz w:val="21"/>
          <w:szCs w:val="21"/>
          <w:lang w:val="en-US" w:eastAsia="zh-CN" w:bidi="ar-SA"/>
        </w:rPr>
        <w:t>项目若有缺失或无效，将导致投标被拒绝且不允许在开标后补正（具体填写要求详见招标文件</w:t>
      </w:r>
      <w:r>
        <w:rPr>
          <w:rStyle w:val="20"/>
          <w:rFonts w:hint="eastAsia" w:ascii="宋体" w:hAnsi="宋体" w:eastAsia="宋体" w:cs="宋体"/>
          <w:sz w:val="21"/>
          <w:szCs w:val="21"/>
          <w:u w:val="single"/>
          <w:lang w:val="en-US" w:eastAsia="zh-CN" w:bidi="ar-SA"/>
        </w:rPr>
        <w:t>第七部分</w:t>
      </w:r>
      <w:r>
        <w:rPr>
          <w:rStyle w:val="20"/>
          <w:rFonts w:hint="eastAsia" w:ascii="宋体" w:hAnsi="宋体" w:eastAsia="宋体" w:cs="宋体"/>
          <w:sz w:val="21"/>
          <w:szCs w:val="21"/>
          <w:lang w:val="en-US" w:eastAsia="zh-CN" w:bidi="ar-SA"/>
        </w:rPr>
        <w:t>）。</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投标文件规格幅面（A4）应与正文一致，使用宋体五号字，按照招标文件</w:t>
      </w:r>
      <w:r>
        <w:rPr>
          <w:rStyle w:val="20"/>
          <w:rFonts w:hint="eastAsia" w:ascii="宋体" w:hAnsi="宋体" w:eastAsia="宋体" w:cs="宋体"/>
          <w:sz w:val="21"/>
          <w:szCs w:val="21"/>
          <w:u w:val="single"/>
          <w:lang w:val="en-US" w:eastAsia="zh-CN" w:bidi="ar-SA"/>
        </w:rPr>
        <w:t>第七部分</w:t>
      </w:r>
      <w:r>
        <w:rPr>
          <w:rStyle w:val="20"/>
          <w:rFonts w:hint="eastAsia" w:ascii="宋体" w:hAnsi="宋体" w:eastAsia="宋体" w:cs="宋体"/>
          <w:sz w:val="21"/>
          <w:szCs w:val="21"/>
          <w:lang w:val="en-US" w:eastAsia="zh-CN" w:bidi="ar-SA"/>
        </w:rPr>
        <w:t>规定的顺序，统一编目编码装订。由于编排混乱导致投标文件被误读或查找不到，其责任应当由投标人承担。</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b/>
          <w:bCs/>
          <w:sz w:val="21"/>
          <w:szCs w:val="21"/>
          <w:lang w:val="en-US" w:eastAsia="zh-CN" w:bidi="ar-SA"/>
        </w:rPr>
        <w:t>装订不得采用活页装订，否则，投标将被拒绝。</w:t>
      </w:r>
    </w:p>
    <w:p>
      <w:pPr>
        <w:pStyle w:val="80"/>
        <w:widowControl/>
        <w:numPr>
          <w:ilvl w:val="1"/>
          <w:numId w:val="4"/>
        </w:numPr>
        <w:tabs>
          <w:tab w:val="right" w:pos="709"/>
        </w:tabs>
        <w:snapToGrid w:val="0"/>
        <w:spacing w:line="360" w:lineRule="exact"/>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为方便评标，技术文件中的各项表格必须按照招标文件第七部分格式要求制作，否则将被视为投标文件完整性有缺陷。</w:t>
      </w:r>
    </w:p>
    <w:p>
      <w:pPr>
        <w:pStyle w:val="80"/>
        <w:widowControl/>
        <w:numPr>
          <w:ilvl w:val="1"/>
          <w:numId w:val="4"/>
        </w:numPr>
        <w:tabs>
          <w:tab w:val="right" w:pos="709"/>
        </w:tabs>
        <w:snapToGrid w:val="0"/>
        <w:spacing w:line="360" w:lineRule="exact"/>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投标保证金</w:t>
      </w:r>
    </w:p>
    <w:p>
      <w:pPr>
        <w:pStyle w:val="80"/>
        <w:widowControl/>
        <w:numPr>
          <w:ilvl w:val="0"/>
          <w:numId w:val="0"/>
        </w:numPr>
        <w:snapToGrid w:val="0"/>
        <w:spacing w:line="360" w:lineRule="exact"/>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（1）投标人应提供的投标保证金额详见投标人须知前附表第10项。</w:t>
      </w:r>
    </w:p>
    <w:p>
      <w:pPr>
        <w:pStyle w:val="80"/>
        <w:widowControl/>
        <w:numPr>
          <w:ilvl w:val="0"/>
          <w:numId w:val="0"/>
        </w:numPr>
        <w:snapToGrid w:val="0"/>
        <w:spacing w:line="360" w:lineRule="exact"/>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（2）投标保证金以支票或汇款方式交付，收款单位为北京大学医学部，投标保证金(汇款凭证)须在投标时与投标文件一起递交。</w:t>
      </w:r>
    </w:p>
    <w:p>
      <w:pPr>
        <w:pStyle w:val="80"/>
        <w:widowControl/>
        <w:numPr>
          <w:ilvl w:val="0"/>
          <w:numId w:val="0"/>
        </w:numPr>
        <w:snapToGrid w:val="0"/>
        <w:spacing w:line="360" w:lineRule="exact"/>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（3）如需汇款，请在备注栏注明“投标保证金”，账号信息为：</w:t>
      </w:r>
    </w:p>
    <w:p>
      <w:pPr>
        <w:pStyle w:val="80"/>
        <w:widowControl/>
        <w:numPr>
          <w:ilvl w:val="0"/>
          <w:numId w:val="0"/>
        </w:numPr>
        <w:snapToGrid w:val="0"/>
        <w:spacing w:line="360" w:lineRule="exact"/>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收款单位：北京大学医学部</w:t>
      </w:r>
    </w:p>
    <w:p>
      <w:pPr>
        <w:pStyle w:val="80"/>
        <w:widowControl/>
        <w:numPr>
          <w:ilvl w:val="0"/>
          <w:numId w:val="0"/>
        </w:numPr>
        <w:snapToGrid w:val="0"/>
        <w:spacing w:line="360" w:lineRule="exact"/>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开户行：工商银行北京东升路支行</w:t>
      </w:r>
    </w:p>
    <w:p>
      <w:pPr>
        <w:pStyle w:val="80"/>
        <w:widowControl/>
        <w:numPr>
          <w:ilvl w:val="0"/>
          <w:numId w:val="0"/>
        </w:numPr>
        <w:snapToGrid w:val="0"/>
        <w:spacing w:line="360" w:lineRule="exact"/>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账号：0200006209089112565</w:t>
      </w:r>
    </w:p>
    <w:p>
      <w:pPr>
        <w:pStyle w:val="80"/>
        <w:widowControl/>
        <w:numPr>
          <w:ilvl w:val="0"/>
          <w:numId w:val="0"/>
        </w:numPr>
        <w:snapToGrid w:val="0"/>
        <w:spacing w:line="360" w:lineRule="exact"/>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（4）未按要求提交投标保证金的投标将被拒绝。</w:t>
      </w:r>
    </w:p>
    <w:p>
      <w:pPr>
        <w:pStyle w:val="80"/>
        <w:widowControl/>
        <w:numPr>
          <w:ilvl w:val="0"/>
          <w:numId w:val="0"/>
        </w:numPr>
        <w:snapToGrid w:val="0"/>
        <w:spacing w:line="360" w:lineRule="exact"/>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（5）未能中标的投标人的投标保证金，将由招标单位在同中标人签约后5个工作日内无息退还。</w:t>
      </w:r>
    </w:p>
    <w:p>
      <w:pPr>
        <w:pStyle w:val="80"/>
        <w:widowControl/>
        <w:numPr>
          <w:ilvl w:val="0"/>
          <w:numId w:val="0"/>
        </w:numPr>
        <w:snapToGrid w:val="0"/>
        <w:spacing w:line="360" w:lineRule="exact"/>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（6）发生下列情况之一，投标保证金将被没收：</w:t>
      </w:r>
    </w:p>
    <w:p>
      <w:pPr>
        <w:pStyle w:val="80"/>
        <w:widowControl/>
        <w:numPr>
          <w:ilvl w:val="0"/>
          <w:numId w:val="0"/>
        </w:numPr>
        <w:snapToGrid w:val="0"/>
        <w:spacing w:line="360" w:lineRule="exact"/>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A在投标有效期内，投标人撤回其投标的；</w:t>
      </w:r>
    </w:p>
    <w:p>
      <w:pPr>
        <w:pStyle w:val="80"/>
        <w:widowControl/>
        <w:numPr>
          <w:ilvl w:val="0"/>
          <w:numId w:val="0"/>
        </w:numPr>
        <w:snapToGrid w:val="0"/>
        <w:spacing w:line="360" w:lineRule="exact"/>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B中标方中标后不按本须知规定签署供货合同的；</w:t>
      </w:r>
    </w:p>
    <w:p>
      <w:pPr>
        <w:pStyle w:val="80"/>
        <w:widowControl/>
        <w:numPr>
          <w:ilvl w:val="0"/>
          <w:numId w:val="0"/>
        </w:numPr>
        <w:snapToGrid w:val="0"/>
        <w:spacing w:line="360" w:lineRule="exact"/>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C投标人有严重违反招标法律、法规和政府采购管理办法禁止的行为的。 </w:t>
      </w:r>
    </w:p>
    <w:p>
      <w:pPr>
        <w:pStyle w:val="80"/>
        <w:widowControl/>
        <w:numPr>
          <w:ilvl w:val="0"/>
          <w:numId w:val="0"/>
        </w:numPr>
        <w:snapToGrid w:val="0"/>
        <w:spacing w:line="360" w:lineRule="exact"/>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（7）中标方的投标保证金将在与买方签订了合同并提交了评审费后5个工作日内无息退还。</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投标报价</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投标人应在投标分项报价表上标明拟提供货物和服务的单价和总价。</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b/>
          <w:bCs/>
          <w:sz w:val="21"/>
          <w:szCs w:val="21"/>
          <w:lang w:val="en-US" w:eastAsia="zh-CN" w:bidi="ar-SA"/>
        </w:rPr>
      </w:pPr>
      <w:r>
        <w:rPr>
          <w:rStyle w:val="20"/>
          <w:rFonts w:hint="eastAsia" w:ascii="宋体" w:hAnsi="宋体" w:eastAsia="宋体" w:cs="宋体"/>
          <w:b/>
          <w:bCs/>
          <w:sz w:val="21"/>
          <w:szCs w:val="21"/>
          <w:lang w:val="en-US" w:eastAsia="zh-CN" w:bidi="ar-SA"/>
        </w:rPr>
        <w:t>国内货物及进口产品均应以人民币报价。货物运至最终目的地（北京大学医学部指定地点）运输费和保险以及其他费用（报价中需包括免税的货款、国家正常关税外加征的关税以及外贸代理费及进口环节的全部费用。包括但不限于报关费、卫检费、动、植物检验检疫费、商检费、仓储费、运保费、装卸费等其他费用。比例一般不超过货款金额的2%，外贸代理公司由采购人指定）。</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总价中不得包含招标文件要求以外的内容，否则，在评标时不予核减。投标总价中也不得缺漏招标文件所要求的内容，否则，评标时将有效投标中该项内容的最高价计入其投标总价，实质性的缺漏可能导致其投标被拒绝。</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投标人应在分项报价表中对每项内容给予详细分项报价。</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投标人按上述11.4条款的要求填写“分项报价表”是为了方便招标人和招标代理机构对投标文件进行比较，并不限制招标人以其它方式签订合同的权力。</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投标人所报的投标价应是固定不变的，不得以任何理由予以变更。根据投标人须知第24条的规定，以可调整的价格提交的投标文件将作为非响应性投标而予以拒绝。</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本项目只允许投标人提供一个投标方案，否则其投标将被拒绝。</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投标货币</w:t>
      </w:r>
    </w:p>
    <w:p>
      <w:pPr>
        <w:pStyle w:val="80"/>
        <w:widowControl/>
        <w:numPr>
          <w:ilvl w:val="0"/>
          <w:numId w:val="0"/>
        </w:numPr>
        <w:snapToGrid w:val="0"/>
        <w:spacing w:line="240" w:lineRule="auto"/>
        <w:ind w:left="735" w:hanging="735" w:hangingChars="350"/>
        <w:jc w:val="both"/>
        <w:rPr>
          <w:rStyle w:val="20"/>
          <w:rFonts w:hint="eastAsia" w:ascii="宋体" w:hAnsi="宋体" w:eastAsia="宋体" w:cs="宋体"/>
          <w:b/>
          <w:bCs/>
          <w:sz w:val="21"/>
          <w:szCs w:val="21"/>
          <w:lang w:val="en-US" w:eastAsia="zh-CN" w:bidi="ar-SA"/>
        </w:rPr>
      </w:pPr>
      <w:r>
        <w:rPr>
          <w:rStyle w:val="20"/>
          <w:rFonts w:hint="eastAsia" w:ascii="宋体" w:hAnsi="宋体" w:eastAsia="宋体" w:cs="宋体"/>
          <w:sz w:val="21"/>
          <w:szCs w:val="21"/>
          <w:lang w:val="en-US" w:eastAsia="zh-CN" w:bidi="ar-SA"/>
        </w:rPr>
        <w:t xml:space="preserve">      </w:t>
      </w:r>
      <w:r>
        <w:rPr>
          <w:rStyle w:val="20"/>
          <w:rFonts w:hint="eastAsia" w:ascii="宋体" w:hAnsi="宋体" w:eastAsia="宋体" w:cs="宋体"/>
          <w:b/>
          <w:bCs/>
          <w:sz w:val="21"/>
          <w:szCs w:val="21"/>
          <w:lang w:val="en-US" w:eastAsia="zh-CN" w:bidi="ar-SA"/>
        </w:rPr>
        <w:t xml:space="preserve"> 所有投标均以人民币报价。招标人不接受外币报价。投标人的投标报价应遵守“中华人民共和国价格法”。</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本项目是否允许投标人将项目的非主体、非关键性工作交由他人完成详见投标人须知前附表</w:t>
      </w:r>
      <w:r>
        <w:rPr>
          <w:rStyle w:val="20"/>
          <w:rFonts w:hint="eastAsia" w:ascii="宋体" w:hAnsi="宋体" w:eastAsia="宋体" w:cs="宋体"/>
          <w:sz w:val="21"/>
          <w:szCs w:val="21"/>
          <w:u w:val="single"/>
          <w:lang w:val="en-US" w:eastAsia="zh-CN" w:bidi="ar-SA"/>
        </w:rPr>
        <w:t>第12条</w:t>
      </w:r>
      <w:r>
        <w:rPr>
          <w:rStyle w:val="20"/>
          <w:rFonts w:hint="eastAsia" w:ascii="宋体" w:hAnsi="宋体" w:eastAsia="宋体" w:cs="宋体"/>
          <w:sz w:val="21"/>
          <w:szCs w:val="21"/>
          <w:lang w:val="en-US" w:eastAsia="zh-CN" w:bidi="ar-SA"/>
        </w:rPr>
        <w:t>。</w:t>
      </w:r>
    </w:p>
    <w:p>
      <w:pPr>
        <w:pStyle w:val="80"/>
        <w:widowControl/>
        <w:numPr>
          <w:ilvl w:val="0"/>
          <w:numId w:val="0"/>
        </w:numPr>
        <w:tabs>
          <w:tab w:val="decimal" w:leader="hyphen" w:pos="420"/>
        </w:tabs>
        <w:snapToGrid w:val="0"/>
        <w:spacing w:line="240" w:lineRule="auto"/>
        <w:ind w:left="735" w:hanging="735" w:hangingChars="35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投标人根据采购项目的实际情况,拟在中标后将中标项目的非主体、非关键性工作交由他人完成的，应当在投标文件中载明。</w:t>
      </w:r>
    </w:p>
    <w:p>
      <w:pPr>
        <w:pStyle w:val="80"/>
        <w:widowControl/>
        <w:numPr>
          <w:ilvl w:val="0"/>
          <w:numId w:val="0"/>
        </w:numPr>
        <w:tabs>
          <w:tab w:val="decimal" w:leader="hyphen" w:pos="420"/>
        </w:tabs>
        <w:spacing w:line="240" w:lineRule="auto"/>
        <w:ind w:left="735" w:hanging="735" w:hangingChars="350"/>
        <w:jc w:val="both"/>
        <w:rPr>
          <w:rStyle w:val="20"/>
          <w:rFonts w:hint="eastAsia" w:ascii="宋体" w:hAnsi="宋体" w:eastAsia="宋体" w:cs="宋体"/>
          <w:sz w:val="21"/>
          <w:szCs w:val="21"/>
          <w:lang w:val="en-US" w:eastAsia="zh-CN" w:bidi="ar-SA"/>
        </w:rPr>
      </w:pP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投标内容填写说明</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投标文件应严格按照招标文件规定的顺序装订成册并编制目录，由于编排混乱导致投标文件被误读或查找不到，是投标人的责任。</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应按照招标文件的格式逐项填写，不准有空项；无相应内容可填的项应填写“无”、“未测试”、“没有相应指标”等明确的回答文字。投标文件未按规定提交或留有空项，将被视为投标文件完整性有缺陷。</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开标一览表为在开标仪式上唱标的内容，要求按格式统一填写，不得自行增减内容。</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投标人必须保证投标文件所提供的全部资料真实可靠，并接受招标单位或评标委员会对其中任何资料进一步审查的要求。</w:t>
      </w:r>
    </w:p>
    <w:p>
      <w:pPr>
        <w:spacing w:line="360" w:lineRule="atLeast"/>
        <w:jc w:val="both"/>
        <w:rPr>
          <w:rStyle w:val="20"/>
          <w:rFonts w:hint="eastAsia" w:ascii="宋体" w:hAnsi="宋体" w:eastAsia="宋体" w:cs="宋体"/>
          <w:sz w:val="21"/>
          <w:szCs w:val="21"/>
          <w:lang w:val="en-US" w:eastAsia="zh-CN" w:bidi="ar-SA"/>
        </w:rPr>
      </w:pP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投标文件的有效期</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本项目投标文件的有效期详见投标人须知前附表</w:t>
      </w:r>
      <w:r>
        <w:rPr>
          <w:rStyle w:val="20"/>
          <w:rFonts w:hint="eastAsia" w:ascii="宋体" w:hAnsi="宋体" w:eastAsia="宋体" w:cs="宋体"/>
          <w:sz w:val="21"/>
          <w:szCs w:val="21"/>
          <w:u w:val="single"/>
          <w:lang w:val="en-US" w:eastAsia="zh-CN" w:bidi="ar-SA"/>
        </w:rPr>
        <w:t>第14条</w:t>
      </w:r>
      <w:r>
        <w:rPr>
          <w:rStyle w:val="20"/>
          <w:rFonts w:hint="eastAsia" w:ascii="宋体" w:hAnsi="宋体" w:eastAsia="宋体" w:cs="宋体"/>
          <w:sz w:val="21"/>
          <w:szCs w:val="21"/>
          <w:lang w:val="en-US" w:eastAsia="zh-CN" w:bidi="ar-SA"/>
        </w:rPr>
        <w:t>。有效期短于该规定期限的投标将被拒绝。</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pPr>
        <w:spacing w:line="360" w:lineRule="atLeast"/>
        <w:ind w:left="718" w:hanging="718" w:hangingChars="342"/>
        <w:rPr>
          <w:rStyle w:val="20"/>
          <w:rFonts w:hint="eastAsia" w:ascii="宋体" w:hAnsi="宋体" w:eastAsia="宋体" w:cs="宋体"/>
          <w:sz w:val="21"/>
          <w:szCs w:val="21"/>
          <w:lang w:val="en-US" w:eastAsia="zh-CN" w:bidi="ar-SA"/>
        </w:rPr>
      </w:pP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投标文件的签署及其他规定</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组成投标文件的各项文件均应遵守本条。</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在投标文件及相关文件的签订、履行、通知等事项的书面文件中的单位盖章、印章、公章等处均仅指与当事人名称全称相一致的标准公章，不得使用其它形式（如带有“专用章”等字样的印章）。不符合本条规定的投标将被拒绝。</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投标人应按照招标文件要求，在每一份投标文件的正本上指定位置填写投标人全称并加盖公章、签署法定代表人或投标人代表的全名或加盖本人签名章。不符合本条规定的投标将被拒绝。</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kern w:val="2"/>
          <w:sz w:val="21"/>
          <w:szCs w:val="21"/>
          <w:lang w:val="en-US" w:eastAsia="zh-CN" w:bidi="ar-SA"/>
        </w:rPr>
        <w:t>投标人须注意：为合理节约评审成本，提倡诚实信用的投标行为，特别要求投标人应本着诚信精神，在本次投标文件的偏离表和其它偏离文件中(若本次招标文件中没有提供偏离表或其它偏离文件样本，投标人亦应当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投标人应按投标人须知前附表</w:t>
      </w:r>
      <w:r>
        <w:rPr>
          <w:rStyle w:val="20"/>
          <w:rFonts w:hint="eastAsia" w:ascii="宋体" w:hAnsi="宋体" w:eastAsia="宋体" w:cs="宋体"/>
          <w:sz w:val="21"/>
          <w:szCs w:val="21"/>
          <w:u w:val="single"/>
          <w:lang w:val="en-US" w:eastAsia="zh-CN" w:bidi="ar-SA"/>
        </w:rPr>
        <w:t>第15条</w:t>
      </w:r>
      <w:r>
        <w:rPr>
          <w:rStyle w:val="20"/>
          <w:rFonts w:hint="eastAsia" w:ascii="宋体" w:hAnsi="宋体" w:eastAsia="宋体" w:cs="宋体"/>
          <w:sz w:val="21"/>
          <w:szCs w:val="21"/>
          <w:lang w:val="en-US" w:eastAsia="zh-CN" w:bidi="ar-SA"/>
        </w:rPr>
        <w:t>规定的份数提交投标文件。</w:t>
      </w:r>
    </w:p>
    <w:p>
      <w:pPr>
        <w:numPr>
          <w:ilvl w:val="0"/>
          <w:numId w:val="13"/>
        </w:numPr>
        <w:tabs>
          <w:tab w:val="bar" w:pos="1200"/>
        </w:tabs>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pPr>
        <w:numPr>
          <w:ilvl w:val="0"/>
          <w:numId w:val="13"/>
        </w:numPr>
        <w:tabs>
          <w:tab w:val="bar" w:pos="1200"/>
        </w:tabs>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投标人应保证投标文件副本与正本、电子文档与文本文档的内容严格一致，如果正本与副本或电子文档不一致，以正本为准。单独密封的开标一览表如与投标文件正本不一致，以单独密封的开标一览表为准。</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投标文件应字迹清楚、内容齐全、不得涂改或增删。如有修改和增删，必须有投标人公章及法定代表人或其授权的投标人代表签字。</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因投标文件字迹潦草或表达不清所引起的不利后果由投标人承担。</w:t>
      </w:r>
    </w:p>
    <w:p>
      <w:pPr>
        <w:spacing w:line="360" w:lineRule="atLeast"/>
        <w:ind w:left="718" w:hanging="718" w:hangingChars="342"/>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w:t>
      </w:r>
    </w:p>
    <w:p>
      <w:pPr>
        <w:pStyle w:val="12"/>
        <w:keepNext/>
        <w:keepLines/>
        <w:numPr>
          <w:ilvl w:val="1"/>
          <w:numId w:val="1"/>
        </w:numPr>
        <w:spacing w:before="0" w:after="120" w:line="240" w:lineRule="auto"/>
        <w:ind w:left="238" w:firstLine="0"/>
        <w:rPr>
          <w:rStyle w:val="20"/>
          <w:rFonts w:hint="eastAsia" w:ascii="宋体" w:hAnsi="宋体" w:eastAsia="宋体" w:cs="宋体"/>
          <w:b/>
          <w:bCs/>
          <w:sz w:val="24"/>
          <w:szCs w:val="24"/>
          <w:lang w:val="en-US" w:eastAsia="zh-CN" w:bidi="ar-SA"/>
        </w:rPr>
      </w:pPr>
      <w:r>
        <w:rPr>
          <w:rStyle w:val="20"/>
          <w:rFonts w:hint="eastAsia" w:ascii="宋体" w:hAnsi="宋体" w:eastAsia="宋体" w:cs="宋体"/>
          <w:b/>
          <w:bCs/>
          <w:sz w:val="24"/>
          <w:szCs w:val="24"/>
          <w:lang w:val="en-US" w:eastAsia="zh-CN" w:bidi="ar-SA"/>
        </w:rPr>
        <w:t xml:space="preserve">投标文件的递交     </w:t>
      </w: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投标文件的密封及标记</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投标文件应按以下方法分别装袋密封：</w:t>
      </w:r>
    </w:p>
    <w:p>
      <w:pPr>
        <w:numPr>
          <w:ilvl w:val="0"/>
          <w:numId w:val="14"/>
        </w:numPr>
        <w:tabs>
          <w:tab w:val="bar" w:pos="1200"/>
        </w:tabs>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pPr>
        <w:numPr>
          <w:ilvl w:val="0"/>
          <w:numId w:val="14"/>
        </w:numPr>
        <w:tabs>
          <w:tab w:val="bar" w:pos="1200"/>
        </w:tabs>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为方便开标评标，单独密封的开标一览表应单独放在另一密封信封内，封口处应有法定代表人或投标人代表的签字或印章及投标人公章。封皮上写明项目编号、项目名称及投标人全称，并注明“开标一览表”字样。</w:t>
      </w:r>
    </w:p>
    <w:p>
      <w:pPr>
        <w:numPr>
          <w:ilvl w:val="0"/>
          <w:numId w:val="14"/>
        </w:numPr>
        <w:tabs>
          <w:tab w:val="bar" w:pos="1200"/>
        </w:tabs>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为方便开标评标，投标文件正本与副本应分别单独密封，封口处应有法定代表人或投标人代表的签字或印章及投标人公章，封皮上写明项目编号、项目名称及投标人全称。</w:t>
      </w:r>
    </w:p>
    <w:p>
      <w:pPr>
        <w:numPr>
          <w:ilvl w:val="0"/>
          <w:numId w:val="14"/>
        </w:numPr>
        <w:tabs>
          <w:tab w:val="bar" w:pos="1200"/>
        </w:tabs>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交纳投标保证金（如果要求提交）的有关凭据单独密封。</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如果投标人未按上述要求对投标文件密封及加写标记，招标单位对投标文件的误投和提前启封概不负责。对由此造成提前开封的投标文件，招标单位有权予以拒绝，并退回投标人。</w:t>
      </w:r>
    </w:p>
    <w:p>
      <w:pPr>
        <w:spacing w:line="360" w:lineRule="atLeast"/>
        <w:ind w:left="718" w:hanging="718" w:hangingChars="342"/>
        <w:rPr>
          <w:rStyle w:val="20"/>
          <w:rFonts w:hint="eastAsia" w:ascii="宋体" w:hAnsi="宋体" w:eastAsia="宋体" w:cs="宋体"/>
          <w:sz w:val="21"/>
          <w:szCs w:val="21"/>
          <w:lang w:val="en-US" w:eastAsia="zh-CN" w:bidi="ar-SA"/>
        </w:rPr>
      </w:pP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投标截止时间</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投标文件须按照招标文件规定的投标时间、地点送达。在投标截止时间以后送达的投标文件，招标单位拒绝接收。</w:t>
      </w:r>
    </w:p>
    <w:p>
      <w:pPr>
        <w:pStyle w:val="80"/>
        <w:widowControl/>
        <w:numPr>
          <w:ilvl w:val="0"/>
          <w:numId w:val="0"/>
        </w:numPr>
        <w:tabs>
          <w:tab w:val="decimal" w:leader="hyphen" w:pos="420"/>
        </w:tabs>
        <w:spacing w:line="240" w:lineRule="auto"/>
        <w:jc w:val="both"/>
        <w:rPr>
          <w:rStyle w:val="20"/>
          <w:rFonts w:hint="eastAsia" w:ascii="宋体" w:hAnsi="宋体" w:eastAsia="宋体" w:cs="宋体"/>
          <w:sz w:val="21"/>
          <w:szCs w:val="21"/>
          <w:lang w:val="en-US" w:eastAsia="zh-CN" w:bidi="ar-SA"/>
        </w:rPr>
      </w:pP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投标文件的补充、修改和撤回</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投标人可以在投标截止时间前，对所递交的投标文件进行补充、修改或者撤回。</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在投标截止时间之后，投标人不得撤回投标。</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w:t>
      </w:r>
    </w:p>
    <w:p>
      <w:pPr>
        <w:pStyle w:val="12"/>
        <w:keepNext/>
        <w:keepLines/>
        <w:numPr>
          <w:ilvl w:val="1"/>
          <w:numId w:val="1"/>
        </w:numPr>
        <w:spacing w:before="0" w:after="120" w:line="240" w:lineRule="auto"/>
        <w:ind w:left="238" w:firstLine="0"/>
        <w:rPr>
          <w:rStyle w:val="20"/>
          <w:rFonts w:hint="eastAsia" w:ascii="宋体" w:hAnsi="宋体" w:eastAsia="宋体" w:cs="宋体"/>
          <w:b/>
          <w:bCs/>
          <w:sz w:val="24"/>
          <w:szCs w:val="24"/>
          <w:lang w:val="en-US" w:eastAsia="zh-CN" w:bidi="ar-SA"/>
        </w:rPr>
      </w:pPr>
      <w:r>
        <w:rPr>
          <w:rStyle w:val="20"/>
          <w:rFonts w:hint="eastAsia" w:ascii="宋体" w:hAnsi="宋体" w:eastAsia="宋体" w:cs="宋体"/>
          <w:b/>
          <w:bCs/>
          <w:sz w:val="24"/>
          <w:szCs w:val="24"/>
          <w:lang w:val="en-US" w:eastAsia="zh-CN" w:bidi="ar-SA"/>
        </w:rPr>
        <w:t xml:space="preserve">开标     </w:t>
      </w: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开标</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招标单位按招标文件规定的时间、地点主持公开开标，采购人代表、投标人代表及有关工作人员参加。</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投标人参加开标的代表必须签名报到以证明其出席。</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开标时查验投标文件密封情况，确认无误后拆封唱标。</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招标单位将做开标记录并在开标后要求法定代表人或投标人代表签字确认。</w:t>
      </w:r>
    </w:p>
    <w:p>
      <w:pPr>
        <w:spacing w:line="360" w:lineRule="atLeast"/>
        <w:rPr>
          <w:rStyle w:val="20"/>
          <w:rFonts w:hint="eastAsia" w:ascii="宋体" w:hAnsi="宋体" w:eastAsia="宋体" w:cs="宋体"/>
          <w:sz w:val="21"/>
          <w:szCs w:val="21"/>
          <w:lang w:val="en-US" w:eastAsia="zh-CN" w:bidi="ar-SA"/>
        </w:rPr>
      </w:pPr>
    </w:p>
    <w:p>
      <w:pPr>
        <w:pStyle w:val="12"/>
        <w:keepNext/>
        <w:keepLines/>
        <w:numPr>
          <w:ilvl w:val="1"/>
          <w:numId w:val="1"/>
        </w:numPr>
        <w:spacing w:before="0" w:after="120" w:line="240" w:lineRule="auto"/>
        <w:ind w:left="238" w:firstLine="0"/>
        <w:rPr>
          <w:rStyle w:val="20"/>
          <w:rFonts w:hint="eastAsia" w:ascii="宋体" w:hAnsi="宋体" w:eastAsia="宋体" w:cs="宋体"/>
          <w:b/>
          <w:bCs/>
          <w:sz w:val="24"/>
          <w:szCs w:val="24"/>
          <w:lang w:val="en-US" w:eastAsia="zh-CN" w:bidi="ar-SA"/>
        </w:rPr>
      </w:pPr>
      <w:r>
        <w:rPr>
          <w:rStyle w:val="20"/>
          <w:rFonts w:hint="eastAsia" w:ascii="宋体" w:hAnsi="宋体" w:eastAsia="宋体" w:cs="宋体"/>
          <w:b/>
          <w:bCs/>
          <w:sz w:val="24"/>
          <w:szCs w:val="24"/>
          <w:lang w:val="en-US" w:eastAsia="zh-CN" w:bidi="ar-SA"/>
        </w:rPr>
        <w:t>评标步骤和要求</w:t>
      </w: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组建评标委员会</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采购人或招标单位就招标文件征询过意见的专家,不作为评标专家参加评标，招标单位工作人员不得参加评标。</w:t>
      </w:r>
    </w:p>
    <w:p>
      <w:pPr>
        <w:pStyle w:val="80"/>
        <w:widowControl/>
        <w:numPr>
          <w:ilvl w:val="0"/>
          <w:numId w:val="0"/>
        </w:numPr>
        <w:tabs>
          <w:tab w:val="decimal" w:leader="hyphen" w:pos="420"/>
        </w:tabs>
        <w:spacing w:line="240" w:lineRule="auto"/>
        <w:jc w:val="both"/>
        <w:rPr>
          <w:rStyle w:val="20"/>
          <w:rFonts w:hint="eastAsia" w:ascii="宋体" w:hAnsi="宋体" w:eastAsia="宋体" w:cs="宋体"/>
          <w:sz w:val="21"/>
          <w:szCs w:val="21"/>
          <w:lang w:val="en-US" w:eastAsia="zh-CN" w:bidi="ar-SA"/>
        </w:rPr>
      </w:pPr>
    </w:p>
    <w:p>
      <w:pPr>
        <w:pStyle w:val="80"/>
        <w:widowControl/>
        <w:numPr>
          <w:ilvl w:val="0"/>
          <w:numId w:val="4"/>
        </w:numPr>
        <w:snapToGrid w:val="0"/>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评标准备与初步评审</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开标后，评标委员会将审查投标文件是否符合招标文件的基本要求：内容是否完整、资格证明文件是否齐全、有无计算错误、文件签署是否齐全及验证保证金。</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在详细评标之前，评标委员会要审查每份投标文件是否实质上响应了招标文件的要求</w:t>
      </w:r>
    </w:p>
    <w:p>
      <w:pPr>
        <w:numPr>
          <w:ilvl w:val="0"/>
          <w:numId w:val="15"/>
        </w:numPr>
        <w:tabs>
          <w:tab w:val="bar" w:pos="1200"/>
        </w:tabs>
        <w:snapToGrid w:val="0"/>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实质上响应的投标是指与招标文件的主要条款、条件和规格相符，没有重大偏离或保留。</w:t>
      </w:r>
    </w:p>
    <w:p>
      <w:pPr>
        <w:numPr>
          <w:ilvl w:val="0"/>
          <w:numId w:val="15"/>
        </w:numPr>
        <w:tabs>
          <w:tab w:val="bar" w:pos="1200"/>
        </w:tabs>
        <w:snapToGrid w:val="0"/>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pPr>
        <w:numPr>
          <w:ilvl w:val="0"/>
          <w:numId w:val="16"/>
        </w:numPr>
        <w:tabs>
          <w:tab w:val="bar" w:leader="underscore" w:pos="1200"/>
        </w:tabs>
        <w:snapToGrid w:val="0"/>
        <w:spacing w:line="360" w:lineRule="atLeast"/>
        <w:ind w:left="1200" w:hanging="48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应当交纳投标保证金的投标人未提交投标保证金或金额不足的；</w:t>
      </w:r>
    </w:p>
    <w:p>
      <w:pPr>
        <w:numPr>
          <w:ilvl w:val="0"/>
          <w:numId w:val="16"/>
        </w:numPr>
        <w:tabs>
          <w:tab w:val="bar" w:leader="underscore" w:pos="1200"/>
        </w:tabs>
        <w:snapToGrid w:val="0"/>
        <w:spacing w:line="360" w:lineRule="atLeast"/>
        <w:ind w:left="1200" w:hanging="48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本文件“投标人须知</w:t>
      </w:r>
      <w:r>
        <w:rPr>
          <w:rStyle w:val="20"/>
          <w:rFonts w:hint="eastAsia" w:ascii="宋体" w:hAnsi="宋体" w:eastAsia="宋体" w:cs="宋体"/>
          <w:sz w:val="21"/>
          <w:szCs w:val="21"/>
          <w:u w:val="single"/>
          <w:lang w:val="en-US" w:eastAsia="zh-CN" w:bidi="ar-SA"/>
        </w:rPr>
        <w:t>第9条</w:t>
      </w:r>
      <w:r>
        <w:rPr>
          <w:rStyle w:val="20"/>
          <w:rFonts w:hint="eastAsia" w:ascii="宋体" w:hAnsi="宋体" w:eastAsia="宋体" w:cs="宋体"/>
          <w:sz w:val="21"/>
          <w:szCs w:val="21"/>
          <w:lang w:val="en-US" w:eastAsia="zh-CN" w:bidi="ar-SA"/>
        </w:rPr>
        <w:t>”</w:t>
      </w:r>
      <w:r>
        <w:rPr>
          <w:rStyle w:val="20"/>
          <w:rFonts w:hint="eastAsia" w:ascii="宋体" w:hAnsi="宋体" w:eastAsia="宋体" w:cs="宋体"/>
          <w:sz w:val="21"/>
          <w:szCs w:val="21"/>
          <w:u w:val="single"/>
          <w:lang w:val="en-US" w:eastAsia="zh-CN" w:bidi="ar-SA"/>
        </w:rPr>
        <w:t>、</w:t>
      </w:r>
      <w:r>
        <w:rPr>
          <w:rStyle w:val="20"/>
          <w:rFonts w:hint="eastAsia" w:ascii="宋体" w:hAnsi="宋体" w:eastAsia="宋体" w:cs="宋体"/>
          <w:sz w:val="21"/>
          <w:szCs w:val="21"/>
          <w:lang w:val="en-US" w:eastAsia="zh-CN" w:bidi="ar-SA"/>
        </w:rPr>
        <w:t>“投标文件的组成及相关要求”部分中，带</w:t>
      </w:r>
      <w:r>
        <w:rPr>
          <w:rStyle w:val="20"/>
          <w:rFonts w:hint="eastAsia" w:ascii="宋体" w:hAnsi="宋体" w:eastAsia="宋体" w:cs="宋体"/>
          <w:spacing w:val="-20"/>
          <w:sz w:val="24"/>
          <w:szCs w:val="21"/>
          <w:lang w:val="en-US" w:eastAsia="zh-CN" w:bidi="ar-SA"/>
        </w:rPr>
        <w:t>*</w:t>
      </w:r>
      <w:r>
        <w:rPr>
          <w:rStyle w:val="20"/>
          <w:rFonts w:hint="eastAsia" w:ascii="宋体" w:hAnsi="宋体" w:eastAsia="宋体" w:cs="宋体"/>
          <w:sz w:val="21"/>
          <w:szCs w:val="21"/>
          <w:lang w:val="en-US" w:eastAsia="zh-CN" w:bidi="ar-SA"/>
        </w:rPr>
        <w:t>部分的资格证明文件不全或无效的；</w:t>
      </w:r>
    </w:p>
    <w:p>
      <w:pPr>
        <w:numPr>
          <w:ilvl w:val="0"/>
          <w:numId w:val="16"/>
        </w:numPr>
        <w:tabs>
          <w:tab w:val="bar" w:leader="underscore" w:pos="1200"/>
        </w:tabs>
        <w:snapToGrid w:val="0"/>
        <w:spacing w:line="360" w:lineRule="atLeast"/>
        <w:ind w:left="1200" w:hanging="48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投标文件未按招标文件的规定密封、签署、盖章的；</w:t>
      </w:r>
    </w:p>
    <w:p>
      <w:pPr>
        <w:numPr>
          <w:ilvl w:val="0"/>
          <w:numId w:val="16"/>
        </w:numPr>
        <w:tabs>
          <w:tab w:val="bar" w:leader="underscore" w:pos="1200"/>
        </w:tabs>
        <w:snapToGrid w:val="0"/>
        <w:spacing w:line="360" w:lineRule="atLeast"/>
        <w:ind w:left="1200" w:hanging="48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投标有效期不足的；</w:t>
      </w:r>
    </w:p>
    <w:p>
      <w:pPr>
        <w:numPr>
          <w:ilvl w:val="0"/>
          <w:numId w:val="16"/>
        </w:numPr>
        <w:tabs>
          <w:tab w:val="bar" w:leader="underscore" w:pos="1200"/>
        </w:tabs>
        <w:snapToGrid w:val="0"/>
        <w:spacing w:line="360" w:lineRule="atLeast"/>
        <w:ind w:left="1200" w:hanging="48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未按照招标文件规定报价的；</w:t>
      </w:r>
    </w:p>
    <w:p>
      <w:pPr>
        <w:numPr>
          <w:ilvl w:val="0"/>
          <w:numId w:val="16"/>
        </w:numPr>
        <w:tabs>
          <w:tab w:val="bar" w:leader="underscore" w:pos="1200"/>
        </w:tabs>
        <w:snapToGrid w:val="0"/>
        <w:spacing w:line="360" w:lineRule="atLeast"/>
        <w:ind w:left="1200" w:hanging="48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不符合招标文件中有关分包、转包规定的；</w:t>
      </w:r>
    </w:p>
    <w:p>
      <w:pPr>
        <w:numPr>
          <w:ilvl w:val="0"/>
          <w:numId w:val="16"/>
        </w:numPr>
        <w:tabs>
          <w:tab w:val="bar" w:leader="underscore" w:pos="1200"/>
        </w:tabs>
        <w:snapToGrid w:val="0"/>
        <w:spacing w:line="360" w:lineRule="atLeast"/>
        <w:ind w:left="1200" w:hanging="48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不符合招标文件中规定的其他实质性要求。</w:t>
      </w:r>
    </w:p>
    <w:p>
      <w:pPr>
        <w:numPr>
          <w:ilvl w:val="0"/>
          <w:numId w:val="15"/>
        </w:numPr>
        <w:tabs>
          <w:tab w:val="bar" w:pos="1200"/>
        </w:tabs>
        <w:snapToGrid w:val="0"/>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重大偏离不允许在开标后修正，但评标委员会将允许修正投标中不构成重大偏离的地方，这些修正不会对其他实质上响应招标文件要求的投标人的竞争地位产生不公正的影响。</w:t>
      </w:r>
    </w:p>
    <w:p>
      <w:pPr>
        <w:numPr>
          <w:ilvl w:val="0"/>
          <w:numId w:val="15"/>
        </w:numPr>
        <w:tabs>
          <w:tab w:val="bar" w:pos="1200"/>
        </w:tabs>
        <w:snapToGrid w:val="0"/>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如果投标文件实质上没有响应招标文件的要求，评标委员会将予以拒绝，投标人不得再对投标文件进行任何修正从而使其投标成为实质上响应的投标。</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初审中，对明显的文字和计算错误按下述原则处理，若出现相互矛盾之处，应以排列在先的原则为准优先处理：</w:t>
      </w:r>
    </w:p>
    <w:p>
      <w:pPr>
        <w:numPr>
          <w:ilvl w:val="0"/>
          <w:numId w:val="17"/>
        </w:numPr>
        <w:tabs>
          <w:tab w:val="bar" w:pos="1200"/>
        </w:tabs>
        <w:snapToGrid w:val="0"/>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如果正本与副本或电子文档不一致，以正本为准；单独密封的开标一览表如与正本不一致，以单独密封的开标一览表为准；单独密封的开标一览表内容与投标文件中明细表内容不一致的,以开标一览表为准。</w:t>
      </w:r>
    </w:p>
    <w:p>
      <w:pPr>
        <w:numPr>
          <w:ilvl w:val="0"/>
          <w:numId w:val="17"/>
        </w:numPr>
        <w:tabs>
          <w:tab w:val="bar" w:pos="1200"/>
        </w:tabs>
        <w:snapToGrid w:val="0"/>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如果以文字表示的数据与数字表示的有差别，以文字为准修正数字。如果大小写金额不一致的，以大写金额为准。</w:t>
      </w:r>
    </w:p>
    <w:p>
      <w:pPr>
        <w:numPr>
          <w:ilvl w:val="0"/>
          <w:numId w:val="17"/>
        </w:numPr>
        <w:tabs>
          <w:tab w:val="bar" w:pos="1200"/>
        </w:tabs>
        <w:snapToGrid w:val="0"/>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如果单价乘以数量不等于总价，以单价为准修正总价，但单价金额小数点有明显错位的,应以总价为准，并修改单价。如果明细价格相加不等于汇总价格，以明细价格为准。</w:t>
      </w:r>
    </w:p>
    <w:p>
      <w:pPr>
        <w:numPr>
          <w:ilvl w:val="0"/>
          <w:numId w:val="17"/>
        </w:numPr>
        <w:tabs>
          <w:tab w:val="bar" w:pos="1200"/>
        </w:tabs>
        <w:snapToGrid w:val="0"/>
        <w:spacing w:line="360" w:lineRule="atLeast"/>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调整后的数据应对投标人具有约束力，投标人不同意以上修正，其投标将被拒绝。</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评标委员会对投标文件的判定,只依据投标文件内容本身,不依据任何外来证明。</w:t>
      </w:r>
    </w:p>
    <w:p>
      <w:pPr>
        <w:spacing w:line="360" w:lineRule="atLeast"/>
        <w:rPr>
          <w:rStyle w:val="20"/>
          <w:rFonts w:hint="eastAsia" w:ascii="宋体" w:hAnsi="宋体" w:eastAsia="宋体" w:cs="宋体"/>
          <w:sz w:val="21"/>
          <w:szCs w:val="21"/>
          <w:lang w:val="en-US" w:eastAsia="zh-CN" w:bidi="ar-SA"/>
        </w:rPr>
      </w:pP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投标的澄清</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评标委员会有权要求投标人对投标文件中含义不明确、对同类问题表述不一致或者有明显文字和计算错误等内容作必要的澄清、说明或者补正。该要求应当采用书面形式,并由评标委员会成员签字。</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80"/>
        <w:widowControl/>
        <w:numPr>
          <w:ilvl w:val="0"/>
          <w:numId w:val="0"/>
        </w:numPr>
        <w:tabs>
          <w:tab w:val="decimal" w:leader="hyphen" w:pos="420"/>
        </w:tabs>
        <w:spacing w:line="240" w:lineRule="auto"/>
        <w:ind w:left="709" w:hanging="709"/>
        <w:jc w:val="both"/>
        <w:rPr>
          <w:rStyle w:val="20"/>
          <w:rFonts w:hint="eastAsia" w:ascii="宋体" w:hAnsi="宋体" w:eastAsia="宋体" w:cs="宋体"/>
          <w:sz w:val="21"/>
          <w:szCs w:val="21"/>
          <w:lang w:val="en-US" w:eastAsia="zh-CN" w:bidi="ar-SA"/>
        </w:rPr>
      </w:pP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对投标文件的详细评审</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评标委员会只对实质上响应招标文件的投标进行评价和比较；评审应严格按照招标文件的要求和条件进行；具体评审原则、方法和中标条件详见招标文件</w:t>
      </w:r>
      <w:r>
        <w:rPr>
          <w:rStyle w:val="20"/>
          <w:rFonts w:hint="eastAsia" w:ascii="宋体" w:hAnsi="宋体" w:eastAsia="宋体" w:cs="宋体"/>
          <w:sz w:val="21"/>
          <w:szCs w:val="21"/>
          <w:u w:val="single"/>
          <w:lang w:val="en-US" w:eastAsia="zh-CN" w:bidi="ar-SA"/>
        </w:rPr>
        <w:t>第四部分“评标标准和评标办法”</w:t>
      </w:r>
      <w:r>
        <w:rPr>
          <w:rStyle w:val="20"/>
          <w:rFonts w:hint="eastAsia" w:ascii="宋体" w:hAnsi="宋体" w:eastAsia="宋体" w:cs="宋体"/>
          <w:sz w:val="21"/>
          <w:szCs w:val="21"/>
          <w:lang w:val="en-US" w:eastAsia="zh-CN" w:bidi="ar-SA"/>
        </w:rPr>
        <w:t>。</w:t>
      </w:r>
    </w:p>
    <w:p>
      <w:pPr>
        <w:spacing w:line="360" w:lineRule="atLeast"/>
        <w:ind w:left="718" w:hanging="718" w:hangingChars="342"/>
        <w:rPr>
          <w:rStyle w:val="20"/>
          <w:rFonts w:hint="eastAsia" w:ascii="宋体" w:hAnsi="宋体" w:eastAsia="宋体" w:cs="宋体"/>
          <w:sz w:val="21"/>
          <w:szCs w:val="21"/>
          <w:lang w:val="en-US" w:eastAsia="zh-CN" w:bidi="ar-SA"/>
        </w:rPr>
      </w:pP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确定中标人</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评标委员会根据详细评审的结果确定推荐的中标候选人名单，并标明排列顺序。</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中标候选人，依次类推。</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采购人也可授权评标委员会按本条规定直接确定中标人。</w:t>
      </w:r>
    </w:p>
    <w:p>
      <w:pPr>
        <w:pStyle w:val="80"/>
        <w:widowControl/>
        <w:numPr>
          <w:ilvl w:val="0"/>
          <w:numId w:val="0"/>
        </w:numPr>
        <w:spacing w:line="240" w:lineRule="auto"/>
        <w:ind w:left="709"/>
        <w:jc w:val="both"/>
        <w:rPr>
          <w:rStyle w:val="20"/>
          <w:rFonts w:hint="eastAsia" w:ascii="宋体" w:hAnsi="宋体" w:eastAsia="宋体" w:cs="宋体"/>
          <w:sz w:val="21"/>
          <w:szCs w:val="21"/>
          <w:lang w:val="en-US" w:eastAsia="zh-CN" w:bidi="ar-SA"/>
        </w:rPr>
      </w:pPr>
    </w:p>
    <w:p>
      <w:pPr>
        <w:pStyle w:val="80"/>
        <w:widowControl/>
        <w:numPr>
          <w:ilvl w:val="0"/>
          <w:numId w:val="0"/>
        </w:numPr>
        <w:tabs>
          <w:tab w:val="decimal" w:leader="hyphen" w:pos="420"/>
        </w:tabs>
        <w:spacing w:line="240" w:lineRule="auto"/>
        <w:ind w:left="709" w:hanging="709"/>
        <w:jc w:val="both"/>
        <w:rPr>
          <w:rStyle w:val="20"/>
          <w:rFonts w:hint="eastAsia" w:ascii="宋体" w:hAnsi="宋体" w:eastAsia="宋体" w:cs="宋体"/>
          <w:sz w:val="21"/>
          <w:szCs w:val="21"/>
          <w:lang w:val="en-US" w:eastAsia="zh-CN" w:bidi="ar-SA"/>
        </w:rPr>
      </w:pP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评标过程要求</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在评标期间，投标人企图影响招标单位或评标委员会的任何活动，将导致投标被拒绝，  并由其承担相应的法律责任。</w:t>
      </w:r>
    </w:p>
    <w:p>
      <w:pPr>
        <w:pStyle w:val="80"/>
        <w:widowControl/>
        <w:numPr>
          <w:ilvl w:val="0"/>
          <w:numId w:val="0"/>
        </w:numPr>
        <w:tabs>
          <w:tab w:val="decimal" w:leader="hyphen" w:pos="420"/>
        </w:tabs>
        <w:spacing w:line="240" w:lineRule="auto"/>
        <w:ind w:left="709" w:hanging="709"/>
        <w:jc w:val="both"/>
        <w:rPr>
          <w:rStyle w:val="20"/>
          <w:rFonts w:hint="eastAsia" w:ascii="宋体" w:hAnsi="宋体" w:eastAsia="宋体" w:cs="宋体"/>
          <w:sz w:val="21"/>
          <w:szCs w:val="21"/>
          <w:lang w:val="en-US" w:eastAsia="zh-CN" w:bidi="ar-SA"/>
        </w:rPr>
      </w:pP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关于投标人瑕疵滞后发现的处理规则：</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无论基于何种原因，各项本应作拒绝处理的情形即便未被及时发现而使该投标人进入初审、详细评审或其它后续程序，包括已经签约的情形，一旦在任何时间被发现存在上述情形，则向相关政府采购监督管理部门反映。</w:t>
      </w:r>
    </w:p>
    <w:p>
      <w:pPr>
        <w:pStyle w:val="80"/>
        <w:widowControl/>
        <w:numPr>
          <w:ilvl w:val="0"/>
          <w:numId w:val="0"/>
        </w:numPr>
        <w:snapToGrid w:val="0"/>
        <w:spacing w:line="240" w:lineRule="auto"/>
        <w:jc w:val="both"/>
        <w:rPr>
          <w:rStyle w:val="20"/>
          <w:rFonts w:hint="eastAsia" w:ascii="宋体" w:hAnsi="宋体" w:eastAsia="宋体" w:cs="宋体"/>
          <w:sz w:val="21"/>
          <w:szCs w:val="21"/>
          <w:lang w:val="en-US" w:eastAsia="zh-CN" w:bidi="ar-SA"/>
        </w:rPr>
      </w:pPr>
    </w:p>
    <w:p>
      <w:pPr>
        <w:pStyle w:val="80"/>
        <w:widowControl/>
        <w:numPr>
          <w:ilvl w:val="0"/>
          <w:numId w:val="4"/>
        </w:numPr>
        <w:spacing w:line="240" w:lineRule="auto"/>
        <w:ind w:left="851" w:hanging="709"/>
        <w:jc w:val="both"/>
        <w:rPr>
          <w:rStyle w:val="20"/>
          <w:rFonts w:hint="eastAsia" w:ascii="宋体" w:hAnsi="宋体" w:eastAsia="宋体" w:cs="宋体"/>
          <w:sz w:val="24"/>
          <w:szCs w:val="24"/>
          <w:lang w:val="en-US" w:eastAsia="zh-CN" w:bidi="ar-SA"/>
        </w:rPr>
      </w:pPr>
      <w:r>
        <w:rPr>
          <w:rStyle w:val="20"/>
          <w:rFonts w:hint="eastAsia" w:ascii="宋体" w:hAnsi="宋体" w:eastAsia="宋体" w:cs="宋体"/>
          <w:sz w:val="21"/>
          <w:szCs w:val="21"/>
          <w:lang w:val="en-US" w:eastAsia="zh-CN" w:bidi="ar-SA"/>
        </w:rPr>
        <w:t>接受和拒绝任何或所有投标的权力</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招标机构和买方在授予合同时有权在10%幅度内对“技术要求”中规定的货物/服务的数量予以增加或减少，但不得对单价或其它的条款和条件做任何改变。</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招标机构和买方保留在授标之前任何时候接受或拒绝任何投标，以及宣布招标程序无效或拒绝所有投标的权力，对受影响的投标人不承担任何责任，也无义务向受影响的投标人解释采取这一行动的理由。</w:t>
      </w:r>
    </w:p>
    <w:p>
      <w:pPr>
        <w:pStyle w:val="80"/>
        <w:widowControl/>
        <w:numPr>
          <w:ilvl w:val="0"/>
          <w:numId w:val="0"/>
        </w:numPr>
        <w:tabs>
          <w:tab w:val="decimal" w:leader="hyphen" w:pos="420"/>
        </w:tabs>
        <w:spacing w:line="240" w:lineRule="auto"/>
        <w:ind w:left="420"/>
        <w:jc w:val="both"/>
        <w:rPr>
          <w:rStyle w:val="20"/>
          <w:rFonts w:hint="eastAsia" w:ascii="宋体" w:hAnsi="宋体" w:eastAsia="宋体" w:cs="宋体"/>
          <w:sz w:val="21"/>
          <w:szCs w:val="21"/>
          <w:lang w:val="en-US" w:eastAsia="zh-CN" w:bidi="ar-SA"/>
        </w:rPr>
      </w:pPr>
    </w:p>
    <w:p>
      <w:pPr>
        <w:pStyle w:val="12"/>
        <w:keepNext/>
        <w:keepLines/>
        <w:numPr>
          <w:ilvl w:val="1"/>
          <w:numId w:val="1"/>
        </w:numPr>
        <w:spacing w:before="0" w:after="120" w:line="240" w:lineRule="auto"/>
        <w:ind w:left="238" w:firstLine="0"/>
        <w:rPr>
          <w:rStyle w:val="20"/>
          <w:rFonts w:hint="eastAsia" w:ascii="宋体" w:hAnsi="宋体" w:eastAsia="宋体" w:cs="宋体"/>
          <w:b/>
          <w:bCs/>
          <w:sz w:val="24"/>
          <w:szCs w:val="24"/>
          <w:lang w:val="en-US" w:eastAsia="zh-CN" w:bidi="ar-SA"/>
        </w:rPr>
      </w:pPr>
      <w:r>
        <w:rPr>
          <w:rStyle w:val="20"/>
          <w:rFonts w:hint="eastAsia" w:ascii="宋体" w:hAnsi="宋体" w:eastAsia="宋体" w:cs="宋体"/>
          <w:b/>
          <w:bCs/>
          <w:sz w:val="24"/>
          <w:szCs w:val="24"/>
          <w:lang w:val="en-US" w:eastAsia="zh-CN" w:bidi="ar-SA"/>
        </w:rPr>
        <w:t>签订合同</w:t>
      </w:r>
    </w:p>
    <w:p>
      <w:pPr>
        <w:pStyle w:val="80"/>
        <w:widowControl/>
        <w:numPr>
          <w:ilvl w:val="0"/>
          <w:numId w:val="4"/>
        </w:numPr>
        <w:snapToGrid w:val="0"/>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中标通知</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中标人确定后,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招标单位同时向其他投标人发出未中标通知书。招标单位对未中标的投标人不作未中标原因的解释，但中标结果的有效性不以未中标的投标人是否收到相应的通知为前提。</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中标通知书是合同的组成部分。</w:t>
      </w:r>
    </w:p>
    <w:p>
      <w:pPr>
        <w:spacing w:line="360" w:lineRule="atLeast"/>
        <w:ind w:left="720" w:hanging="720"/>
        <w:jc w:val="both"/>
        <w:rPr>
          <w:rStyle w:val="20"/>
          <w:rFonts w:hint="eastAsia" w:ascii="宋体" w:hAnsi="宋体" w:eastAsia="宋体" w:cs="宋体"/>
          <w:sz w:val="21"/>
          <w:szCs w:val="21"/>
          <w:lang w:val="en-US" w:eastAsia="zh-CN" w:bidi="ar-SA"/>
        </w:rPr>
      </w:pP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签订合同</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中标人应按中标通知书中规定的时间、地点与采购人签订中标合同。</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中标人应按照招标文件、投标文件及评标过程中的有关澄清、说明或者补正文件的内容与采购人签订合同。中标人不得再与采购人签订背离合同实质性内容的其它协议或声明。</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采购人如需追加与合同标的相同的货物，在不改变合同其他条款的前提下，中标人可与采购人协商签订补充合同，但所有补充合同的采购金额不得超过原合同金额的百分之十。</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中标人一旦中标，及签订合同后，不得转包，亦不得将合同全部及任何权利、义务向第三方转让。</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违反25.1条、25.2条的规定，给对方造成损失的，应承担赔偿责任。</w:t>
      </w:r>
    </w:p>
    <w:p>
      <w:pPr>
        <w:pStyle w:val="80"/>
        <w:widowControl/>
        <w:numPr>
          <w:ilvl w:val="0"/>
          <w:numId w:val="0"/>
        </w:numPr>
        <w:snapToGrid w:val="0"/>
        <w:spacing w:line="240" w:lineRule="auto"/>
        <w:ind w:left="709"/>
        <w:jc w:val="both"/>
        <w:rPr>
          <w:rStyle w:val="20"/>
          <w:rFonts w:hint="eastAsia" w:ascii="宋体" w:hAnsi="宋体" w:eastAsia="宋体" w:cs="宋体"/>
          <w:sz w:val="21"/>
          <w:szCs w:val="21"/>
          <w:lang w:val="en-US" w:eastAsia="zh-CN" w:bidi="ar-SA"/>
        </w:rPr>
      </w:pPr>
    </w:p>
    <w:p>
      <w:pPr>
        <w:pStyle w:val="12"/>
        <w:keepNext/>
        <w:keepLines/>
        <w:numPr>
          <w:ilvl w:val="1"/>
          <w:numId w:val="1"/>
        </w:numPr>
        <w:spacing w:before="0" w:after="120" w:line="240" w:lineRule="auto"/>
        <w:ind w:left="238" w:firstLine="0"/>
        <w:rPr>
          <w:rStyle w:val="20"/>
          <w:rFonts w:hint="eastAsia" w:ascii="宋体" w:hAnsi="宋体" w:eastAsia="宋体" w:cs="宋体"/>
          <w:b/>
          <w:bCs/>
          <w:sz w:val="24"/>
          <w:szCs w:val="24"/>
          <w:lang w:val="en-US" w:eastAsia="zh-CN" w:bidi="ar-SA"/>
        </w:rPr>
      </w:pPr>
      <w:r>
        <w:rPr>
          <w:rStyle w:val="20"/>
          <w:rFonts w:hint="eastAsia" w:ascii="宋体" w:hAnsi="宋体" w:eastAsia="宋体" w:cs="宋体"/>
          <w:b/>
          <w:bCs/>
          <w:sz w:val="24"/>
          <w:szCs w:val="24"/>
          <w:lang w:val="en-US" w:eastAsia="zh-CN" w:bidi="ar-SA"/>
        </w:rPr>
        <w:t>中标服务费及其他费用　　</w:t>
      </w: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中标服务费及其他费用</w:t>
      </w:r>
    </w:p>
    <w:p>
      <w:pPr>
        <w:pStyle w:val="80"/>
        <w:widowControl/>
        <w:numPr>
          <w:ilvl w:val="0"/>
          <w:numId w:val="0"/>
        </w:num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27.1中标方需交纳评审费。金额依照合同金额采用差额定率累进计费方式计算，具体计算方式： </w:t>
      </w:r>
    </w:p>
    <w:p>
      <w:pPr>
        <w:pStyle w:val="80"/>
        <w:widowControl/>
        <w:numPr>
          <w:ilvl w:val="0"/>
          <w:numId w:val="0"/>
        </w:numPr>
        <w:spacing w:line="240" w:lineRule="auto"/>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a)100万元人民币以下部分按1％收取；</w:t>
      </w:r>
    </w:p>
    <w:p>
      <w:pPr>
        <w:pStyle w:val="80"/>
        <w:widowControl/>
        <w:numPr>
          <w:ilvl w:val="0"/>
          <w:numId w:val="0"/>
        </w:numPr>
        <w:spacing w:line="240" w:lineRule="auto"/>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b)100－500万元人民币部分按0.8％收取；</w:t>
      </w:r>
    </w:p>
    <w:p>
      <w:pPr>
        <w:pStyle w:val="80"/>
        <w:widowControl/>
        <w:numPr>
          <w:ilvl w:val="0"/>
          <w:numId w:val="0"/>
        </w:numPr>
        <w:spacing w:line="240" w:lineRule="auto"/>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c)500万元以上人民币部分按0.6％收取。</w:t>
      </w:r>
    </w:p>
    <w:p>
      <w:pPr>
        <w:pStyle w:val="80"/>
        <w:widowControl/>
        <w:numPr>
          <w:ilvl w:val="0"/>
          <w:numId w:val="0"/>
        </w:numPr>
        <w:snapToGrid w:val="0"/>
        <w:spacing w:line="360" w:lineRule="exac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27.2进口免税设备中标商还需另行支付外贸代理费及进口环节的全部费用，总计不超过2.5%，结算时实报实销 ；外贸代理由招标人另行指定！</w:t>
      </w:r>
    </w:p>
    <w:p>
      <w:pPr>
        <w:pStyle w:val="80"/>
        <w:widowControl/>
        <w:numPr>
          <w:ilvl w:val="0"/>
          <w:numId w:val="0"/>
        </w:numPr>
        <w:snapToGrid w:val="0"/>
        <w:spacing w:line="360" w:lineRule="exac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27.3中标服务费以支票或汇款方式支付，汇款时，请在备注栏注明“中标服务费”，账号信息为：</w:t>
      </w:r>
    </w:p>
    <w:p>
      <w:pPr>
        <w:pStyle w:val="80"/>
        <w:widowControl/>
        <w:numPr>
          <w:ilvl w:val="0"/>
          <w:numId w:val="0"/>
        </w:numPr>
        <w:snapToGrid w:val="0"/>
        <w:spacing w:line="360" w:lineRule="exact"/>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收款单位：北京大学医学部</w:t>
      </w:r>
    </w:p>
    <w:p>
      <w:pPr>
        <w:pStyle w:val="80"/>
        <w:widowControl/>
        <w:numPr>
          <w:ilvl w:val="0"/>
          <w:numId w:val="0"/>
        </w:numPr>
        <w:snapToGrid w:val="0"/>
        <w:spacing w:line="360" w:lineRule="exact"/>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开户行：工商银行北京东升路支行</w:t>
      </w:r>
    </w:p>
    <w:p>
      <w:pPr>
        <w:pStyle w:val="80"/>
        <w:widowControl/>
        <w:numPr>
          <w:ilvl w:val="0"/>
          <w:numId w:val="0"/>
        </w:numPr>
        <w:snapToGrid w:val="0"/>
        <w:spacing w:line="360" w:lineRule="exact"/>
        <w:ind w:left="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账号：0200006209089112565</w:t>
      </w:r>
    </w:p>
    <w:p>
      <w:pPr>
        <w:pStyle w:val="80"/>
        <w:widowControl/>
        <w:numPr>
          <w:ilvl w:val="0"/>
          <w:numId w:val="0"/>
        </w:numPr>
        <w:spacing w:line="240" w:lineRule="auto"/>
        <w:ind w:left="709"/>
        <w:jc w:val="both"/>
        <w:rPr>
          <w:rStyle w:val="20"/>
          <w:rFonts w:hint="eastAsia" w:ascii="宋体" w:hAnsi="宋体" w:eastAsia="宋体" w:cs="宋体"/>
          <w:sz w:val="21"/>
          <w:szCs w:val="21"/>
          <w:lang w:val="en-US" w:eastAsia="zh-CN" w:bidi="ar-SA"/>
        </w:rPr>
      </w:pPr>
    </w:p>
    <w:p>
      <w:pPr>
        <w:spacing w:line="360" w:lineRule="atLeast"/>
        <w:ind w:left="718" w:hanging="718" w:hangingChars="342"/>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w:t>
      </w:r>
    </w:p>
    <w:p>
      <w:pPr>
        <w:pStyle w:val="12"/>
        <w:keepNext/>
        <w:keepLines/>
        <w:numPr>
          <w:ilvl w:val="1"/>
          <w:numId w:val="1"/>
        </w:numPr>
        <w:spacing w:before="0" w:after="120" w:line="240" w:lineRule="auto"/>
        <w:ind w:left="238" w:firstLine="0"/>
        <w:rPr>
          <w:rStyle w:val="20"/>
          <w:rFonts w:hint="eastAsia" w:ascii="宋体" w:hAnsi="宋体" w:eastAsia="宋体" w:cs="宋体"/>
          <w:b/>
          <w:bCs/>
          <w:sz w:val="24"/>
          <w:szCs w:val="24"/>
          <w:lang w:val="en-US" w:eastAsia="zh-CN" w:bidi="ar-SA"/>
        </w:rPr>
      </w:pPr>
      <w:r>
        <w:rPr>
          <w:rStyle w:val="20"/>
          <w:rFonts w:hint="eastAsia" w:ascii="宋体" w:hAnsi="宋体" w:eastAsia="宋体" w:cs="宋体"/>
          <w:b/>
          <w:bCs/>
          <w:sz w:val="24"/>
          <w:szCs w:val="24"/>
          <w:lang w:val="en-US" w:eastAsia="zh-CN" w:bidi="ar-SA"/>
        </w:rPr>
        <w:t>处罚、询问和质疑</w:t>
      </w: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发生下列情况之一，投标人的投标保证金将被没收，并被列入不良记录名单，投标人今后参与同类项目的机会可能会受到影响：</w:t>
      </w:r>
    </w:p>
    <w:p>
      <w:pPr>
        <w:pStyle w:val="80"/>
        <w:widowControl/>
        <w:numPr>
          <w:ilvl w:val="0"/>
          <w:numId w:val="18"/>
        </w:numPr>
        <w:tabs>
          <w:tab w:val="bar" w:pos="851"/>
          <w:tab w:val="bar" w:pos="1140"/>
        </w:tabs>
        <w:spacing w:line="240" w:lineRule="auto"/>
        <w:ind w:left="1140" w:hanging="72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开标后在投标有效期内，投标人撤回其投标；</w:t>
      </w:r>
    </w:p>
    <w:p>
      <w:pPr>
        <w:pStyle w:val="80"/>
        <w:widowControl/>
        <w:numPr>
          <w:ilvl w:val="0"/>
          <w:numId w:val="18"/>
        </w:numPr>
        <w:tabs>
          <w:tab w:val="bar" w:pos="851"/>
          <w:tab w:val="bar" w:pos="1140"/>
        </w:tabs>
        <w:spacing w:line="240" w:lineRule="auto"/>
        <w:ind w:left="1140" w:hanging="72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中标人未按本招标文件规定签约；</w:t>
      </w:r>
    </w:p>
    <w:p>
      <w:pPr>
        <w:pStyle w:val="80"/>
        <w:widowControl/>
        <w:numPr>
          <w:ilvl w:val="0"/>
          <w:numId w:val="18"/>
        </w:numPr>
        <w:tabs>
          <w:tab w:val="bar" w:pos="851"/>
          <w:tab w:val="bar" w:pos="1140"/>
        </w:tabs>
        <w:spacing w:line="240" w:lineRule="auto"/>
        <w:ind w:left="1140" w:hanging="72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中标人与采购人订立背离合同实质性内容的其它协议；</w:t>
      </w:r>
    </w:p>
    <w:p>
      <w:pPr>
        <w:pStyle w:val="80"/>
        <w:widowControl/>
        <w:numPr>
          <w:ilvl w:val="0"/>
          <w:numId w:val="18"/>
        </w:numPr>
        <w:tabs>
          <w:tab w:val="bar" w:pos="851"/>
          <w:tab w:val="bar" w:pos="1140"/>
        </w:tabs>
        <w:spacing w:line="240" w:lineRule="auto"/>
        <w:ind w:left="1140" w:hanging="72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投标人其它未按招标文件规定和合同约定履行义务的行为。</w:t>
      </w:r>
    </w:p>
    <w:p>
      <w:pPr>
        <w:pStyle w:val="80"/>
        <w:widowControl/>
        <w:numPr>
          <w:ilvl w:val="0"/>
          <w:numId w:val="0"/>
        </w:numPr>
        <w:spacing w:line="240" w:lineRule="auto"/>
        <w:jc w:val="both"/>
        <w:rPr>
          <w:rStyle w:val="20"/>
          <w:rFonts w:hint="eastAsia" w:ascii="宋体" w:hAnsi="宋体" w:eastAsia="宋体" w:cs="宋体"/>
          <w:sz w:val="21"/>
          <w:szCs w:val="21"/>
          <w:lang w:val="en-US" w:eastAsia="zh-CN" w:bidi="ar-SA"/>
        </w:rPr>
      </w:pPr>
    </w:p>
    <w:p>
      <w:pPr>
        <w:pStyle w:val="80"/>
        <w:widowControl/>
        <w:numPr>
          <w:ilvl w:val="0"/>
          <w:numId w:val="4"/>
        </w:numPr>
        <w:snapToGrid w:val="0"/>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投标人有权就招标事宜提出质疑</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投标人对招标文件条款或技术参数有异议的，应当在公告发出7个工作日内提出。投标人已经参与投标，并于开标后对招标文件提出质疑的，其质疑应当被视为无效质疑。</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若投标人认为其投标未获公平评审或采购过程和中标结果使自己的合法权益受到损害的，可以在知道或者应知其权益受到损害之日起7个工作日内提出质疑。 </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质疑应当以书面形式向采购人或招标单位提出。</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质疑人提起质疑应当符合下列条件：</w:t>
      </w:r>
    </w:p>
    <w:p>
      <w:pPr>
        <w:pStyle w:val="80"/>
        <w:widowControl/>
        <w:numPr>
          <w:ilvl w:val="0"/>
          <w:numId w:val="19"/>
        </w:numPr>
        <w:tabs>
          <w:tab w:val="bar" w:pos="851"/>
          <w:tab w:val="bar" w:pos="1140"/>
        </w:tabs>
        <w:spacing w:line="240" w:lineRule="auto"/>
        <w:ind w:left="1140" w:hanging="72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质疑人是参与被质疑采购项目投标的供应商；</w:t>
      </w:r>
    </w:p>
    <w:p>
      <w:pPr>
        <w:pStyle w:val="80"/>
        <w:widowControl/>
        <w:numPr>
          <w:ilvl w:val="0"/>
          <w:numId w:val="19"/>
        </w:numPr>
        <w:tabs>
          <w:tab w:val="bar" w:pos="851"/>
          <w:tab w:val="bar" w:pos="1140"/>
        </w:tabs>
        <w:spacing w:line="240" w:lineRule="auto"/>
        <w:ind w:left="1140" w:hanging="72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质疑书的内容和形式符合相关规定，有效线索和相关证据齐全；</w:t>
      </w:r>
    </w:p>
    <w:p>
      <w:pPr>
        <w:pStyle w:val="80"/>
        <w:widowControl/>
        <w:numPr>
          <w:ilvl w:val="0"/>
          <w:numId w:val="19"/>
        </w:numPr>
        <w:tabs>
          <w:tab w:val="bar" w:pos="851"/>
          <w:tab w:val="bar" w:pos="1140"/>
        </w:tabs>
        <w:spacing w:line="240" w:lineRule="auto"/>
        <w:ind w:left="1140" w:hanging="72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在质疑有效期限内提起质疑；</w:t>
      </w:r>
    </w:p>
    <w:p>
      <w:pPr>
        <w:pStyle w:val="80"/>
        <w:widowControl/>
        <w:numPr>
          <w:ilvl w:val="0"/>
          <w:numId w:val="19"/>
        </w:numPr>
        <w:tabs>
          <w:tab w:val="bar" w:pos="851"/>
          <w:tab w:val="bar" w:pos="1140"/>
        </w:tabs>
        <w:spacing w:line="240" w:lineRule="auto"/>
        <w:ind w:left="1140" w:hanging="72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有关法律、行政法规、财政部规章规定的其他条件。</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质疑书应当以《质疑函》的形式出现，并包括以下主要内容：被质疑项目名称、项目编号、包号、招标公告发布时间、质疑事项、法律依据（具体条款）、法定代表人签字、单位公章、有效联系方式（包括手机、传真号码）。不符合上述要求的，招标单位将不予受理。按照“谁主张、谁举证”的原则，质疑书应当附上相关证明材料，否则质疑将视为无有效证据支持，将被予以驳回，并不得以上述理由要求延长质疑有效期。</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质疑书的递交应到招标单位办公室递交原件，办理文件签收手续，地址：北京市海淀区学院路38号北京大学医学部行政1号楼305室，联系电话：010-82801360；传真或复印件等招标单位有权不予受理。</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有下列情形之一的，属于无效质疑，招标单位可不予受理：</w:t>
      </w:r>
    </w:p>
    <w:p>
      <w:pPr>
        <w:pStyle w:val="80"/>
        <w:widowControl/>
        <w:numPr>
          <w:ilvl w:val="0"/>
          <w:numId w:val="20"/>
        </w:numPr>
        <w:tabs>
          <w:tab w:val="bar" w:pos="851"/>
          <w:tab w:val="bar" w:pos="1140"/>
        </w:tabs>
        <w:spacing w:line="240" w:lineRule="auto"/>
        <w:ind w:left="1140" w:hanging="72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未在有效期限内提出质疑的；</w:t>
      </w:r>
    </w:p>
    <w:p>
      <w:pPr>
        <w:pStyle w:val="80"/>
        <w:widowControl/>
        <w:numPr>
          <w:ilvl w:val="0"/>
          <w:numId w:val="20"/>
        </w:numPr>
        <w:tabs>
          <w:tab w:val="bar" w:pos="851"/>
          <w:tab w:val="bar" w:pos="1140"/>
        </w:tabs>
        <w:spacing w:line="240" w:lineRule="auto"/>
        <w:ind w:left="1140" w:hanging="72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质疑未以书面形式提出的；</w:t>
      </w:r>
    </w:p>
    <w:p>
      <w:pPr>
        <w:pStyle w:val="80"/>
        <w:widowControl/>
        <w:numPr>
          <w:ilvl w:val="0"/>
          <w:numId w:val="20"/>
        </w:numPr>
        <w:tabs>
          <w:tab w:val="bar" w:pos="851"/>
          <w:tab w:val="bar" w:pos="1140"/>
        </w:tabs>
        <w:spacing w:line="240" w:lineRule="auto"/>
        <w:ind w:left="1140" w:hanging="72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质疑书为传真或复印件的；</w:t>
      </w:r>
    </w:p>
    <w:p>
      <w:pPr>
        <w:pStyle w:val="80"/>
        <w:widowControl/>
        <w:numPr>
          <w:ilvl w:val="0"/>
          <w:numId w:val="20"/>
        </w:numPr>
        <w:tabs>
          <w:tab w:val="bar" w:pos="851"/>
          <w:tab w:val="bar" w:pos="1140"/>
        </w:tabs>
        <w:spacing w:line="240" w:lineRule="auto"/>
        <w:ind w:left="1140" w:hanging="72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所提交材料没有以《对××××项目的质疑》命名的；</w:t>
      </w:r>
    </w:p>
    <w:p>
      <w:pPr>
        <w:pStyle w:val="80"/>
        <w:widowControl/>
        <w:numPr>
          <w:ilvl w:val="0"/>
          <w:numId w:val="20"/>
        </w:numPr>
        <w:tabs>
          <w:tab w:val="bar" w:pos="851"/>
          <w:tab w:val="bar" w:pos="1140"/>
        </w:tabs>
        <w:spacing w:line="240" w:lineRule="auto"/>
        <w:ind w:left="1140" w:hanging="72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质疑书没有法定代表人签署本人姓名或印盖本人姓名章并加盖单位公章；质疑书由参加采购项目的授权代表签署本人姓名或印盖本人姓名章的，没有法定代表人的特别授权；质疑书加盖合同专用章的；</w:t>
      </w:r>
    </w:p>
    <w:p>
      <w:pPr>
        <w:pStyle w:val="80"/>
        <w:widowControl/>
        <w:numPr>
          <w:ilvl w:val="0"/>
          <w:numId w:val="20"/>
        </w:numPr>
        <w:tabs>
          <w:tab w:val="bar" w:pos="851"/>
          <w:tab w:val="bar" w:pos="1140"/>
        </w:tabs>
        <w:spacing w:line="240" w:lineRule="auto"/>
        <w:ind w:left="1140" w:hanging="72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质疑书未提供有效联系人或联系方式的；</w:t>
      </w:r>
    </w:p>
    <w:p>
      <w:pPr>
        <w:pStyle w:val="80"/>
        <w:widowControl/>
        <w:numPr>
          <w:ilvl w:val="0"/>
          <w:numId w:val="20"/>
        </w:numPr>
        <w:tabs>
          <w:tab w:val="bar" w:pos="851"/>
          <w:tab w:val="bar" w:pos="1140"/>
        </w:tabs>
        <w:spacing w:line="240" w:lineRule="auto"/>
        <w:ind w:left="1140" w:hanging="72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质疑事项已经进入投诉或者诉讼程序的；</w:t>
      </w:r>
    </w:p>
    <w:p>
      <w:pPr>
        <w:pStyle w:val="80"/>
        <w:widowControl/>
        <w:numPr>
          <w:ilvl w:val="0"/>
          <w:numId w:val="20"/>
        </w:numPr>
        <w:tabs>
          <w:tab w:val="bar" w:pos="851"/>
          <w:tab w:val="bar" w:pos="1140"/>
        </w:tabs>
        <w:spacing w:line="240" w:lineRule="auto"/>
        <w:ind w:left="1140" w:hanging="72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其它不符合受理条件的情形。</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采购人或招标单位将在收到书面质疑后7个工作日内审查质疑事项，作出答复或相关处理决定，并以书面形式通知质疑投标人和其他有关供应商，但答复的内容不涉及商业秘密。若质疑涉及政府采购制度或程序，将被转交政府采购的管理部门审查。</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质疑人有下列情形之一的，招标单位应驳回质疑：</w:t>
      </w:r>
    </w:p>
    <w:p>
      <w:pPr>
        <w:pStyle w:val="80"/>
        <w:widowControl/>
        <w:numPr>
          <w:ilvl w:val="0"/>
          <w:numId w:val="0"/>
        </w:numPr>
        <w:snapToGrid w:val="0"/>
        <w:spacing w:line="240" w:lineRule="auto"/>
        <w:ind w:firstLine="735" w:firstLineChars="35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（1）质疑缺乏事实和法律依据的；</w:t>
      </w:r>
    </w:p>
    <w:p>
      <w:pPr>
        <w:pStyle w:val="80"/>
        <w:widowControl/>
        <w:numPr>
          <w:ilvl w:val="0"/>
          <w:numId w:val="0"/>
        </w:numPr>
        <w:snapToGrid w:val="0"/>
        <w:spacing w:line="240" w:lineRule="auto"/>
        <w:ind w:firstLine="735" w:firstLineChars="35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（2）质疑人捏造事实、提供虚假材料，或在一定期限内多次质疑而无实据的；</w:t>
      </w:r>
    </w:p>
    <w:p>
      <w:pPr>
        <w:pStyle w:val="80"/>
        <w:widowControl/>
        <w:numPr>
          <w:ilvl w:val="0"/>
          <w:numId w:val="0"/>
        </w:numPr>
        <w:snapToGrid w:val="0"/>
        <w:spacing w:line="240" w:lineRule="auto"/>
        <w:ind w:firstLine="735" w:firstLineChars="35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（3）质疑已经处理并答复后，质疑人就同一事项又提起质疑且未提供新的有效证据的；</w:t>
      </w:r>
    </w:p>
    <w:p>
      <w:pPr>
        <w:pStyle w:val="80"/>
        <w:widowControl/>
        <w:numPr>
          <w:ilvl w:val="0"/>
          <w:numId w:val="0"/>
        </w:numPr>
        <w:snapToGrid w:val="0"/>
        <w:spacing w:line="240" w:lineRule="auto"/>
        <w:ind w:firstLine="735" w:firstLineChars="350"/>
        <w:jc w:val="both"/>
        <w:rPr>
          <w:rStyle w:val="20"/>
          <w:rFonts w:hint="eastAsia" w:ascii="宋体" w:hAnsi="宋体" w:eastAsia="宋体" w:cs="宋体"/>
          <w:sz w:val="32"/>
          <w:szCs w:val="32"/>
          <w:lang w:val="en-US" w:eastAsia="zh-CN" w:bidi="ar-SA"/>
        </w:rPr>
      </w:pPr>
      <w:r>
        <w:rPr>
          <w:rStyle w:val="20"/>
          <w:rFonts w:hint="eastAsia" w:ascii="宋体" w:hAnsi="宋体" w:eastAsia="宋体" w:cs="宋体"/>
          <w:sz w:val="21"/>
          <w:szCs w:val="21"/>
          <w:lang w:val="en-US" w:eastAsia="zh-CN" w:bidi="ar-SA"/>
        </w:rPr>
        <w:t>（4）其他根据相关法律、法规应当予以驳回的情形。</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供应商进行虚假和恶意质疑的，招标单位可以提请有关部门将其列入不良记录名单，在一至三年内禁止参加采购活动，并将处理决定在相关媒体上公布。</w:t>
      </w:r>
    </w:p>
    <w:p>
      <w:pPr>
        <w:pStyle w:val="80"/>
        <w:widowControl/>
        <w:numPr>
          <w:ilvl w:val="1"/>
          <w:numId w:val="4"/>
        </w:numPr>
        <w:tabs>
          <w:tab w:val="right" w:pos="709"/>
        </w:tabs>
        <w:snapToGrid w:val="0"/>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质疑投标人对采购人或招标单位的答复不满意以及采购人或招标单位未在规定的时间内做出答复的，可以在答复期满后15个工作日内向招标单位主管部门投诉。</w:t>
      </w:r>
    </w:p>
    <w:p>
      <w:pPr>
        <w:pStyle w:val="12"/>
        <w:keepNext/>
        <w:keepLines/>
        <w:numPr>
          <w:ilvl w:val="1"/>
          <w:numId w:val="1"/>
        </w:numPr>
        <w:spacing w:before="0" w:after="120" w:line="240" w:lineRule="auto"/>
        <w:ind w:left="238" w:firstLine="0"/>
        <w:rPr>
          <w:rStyle w:val="20"/>
          <w:rFonts w:hint="eastAsia" w:ascii="宋体" w:hAnsi="宋体" w:eastAsia="宋体" w:cs="宋体"/>
          <w:b/>
          <w:bCs/>
          <w:sz w:val="24"/>
          <w:szCs w:val="24"/>
          <w:lang w:val="en-US" w:eastAsia="zh-CN" w:bidi="ar-SA"/>
        </w:rPr>
      </w:pPr>
      <w:r>
        <w:rPr>
          <w:rStyle w:val="20"/>
          <w:rFonts w:hint="eastAsia" w:ascii="宋体" w:hAnsi="宋体" w:eastAsia="宋体" w:cs="宋体"/>
          <w:b/>
          <w:bCs/>
          <w:sz w:val="24"/>
          <w:szCs w:val="24"/>
          <w:lang w:val="en-US" w:eastAsia="zh-CN" w:bidi="ar-SA"/>
        </w:rPr>
        <w:t>保密和披露</w:t>
      </w:r>
    </w:p>
    <w:p>
      <w:pPr>
        <w:pStyle w:val="80"/>
        <w:widowControl/>
        <w:numPr>
          <w:ilvl w:val="0"/>
          <w:numId w:val="4"/>
        </w:numPr>
        <w:spacing w:line="240" w:lineRule="auto"/>
        <w:ind w:left="851"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保密和披露</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投标人自领取招标文件之日起，须承诺承担本招标项目下保密义务，不得将因本次招标获得的信息向第三人外传。</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招标单位有权将投标人提供的所有资料向有关政府部门或评审标书的有关人员披露。</w:t>
      </w:r>
    </w:p>
    <w:p>
      <w:pPr>
        <w:pStyle w:val="80"/>
        <w:widowControl/>
        <w:numPr>
          <w:ilvl w:val="1"/>
          <w:numId w:val="4"/>
        </w:numPr>
        <w:tabs>
          <w:tab w:val="right" w:pos="709"/>
        </w:tabs>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pStyle w:val="80"/>
        <w:widowControl/>
        <w:numPr>
          <w:ilvl w:val="0"/>
          <w:numId w:val="0"/>
        </w:numPr>
        <w:spacing w:line="240" w:lineRule="auto"/>
        <w:jc w:val="both"/>
        <w:rPr>
          <w:rStyle w:val="20"/>
          <w:rFonts w:hint="eastAsia" w:ascii="宋体" w:hAnsi="宋体" w:eastAsia="宋体" w:cs="宋体"/>
          <w:b/>
          <w:sz w:val="28"/>
          <w:szCs w:val="28"/>
          <w:lang w:val="en-US" w:eastAsia="zh-CN" w:bidi="ar-SA"/>
        </w:rPr>
        <w:sectPr>
          <w:pgSz w:w="11906" w:h="16838"/>
          <w:pgMar w:top="1418" w:right="1418" w:bottom="1418" w:left="1701" w:header="851" w:footer="851" w:gutter="0"/>
          <w:lnNumType w:countBy="0"/>
          <w:cols w:space="720" w:num="1"/>
          <w:vAlign w:val="top"/>
          <w:docGrid w:type="lines" w:linePitch="312" w:charSpace="0"/>
        </w:sectPr>
      </w:pPr>
    </w:p>
    <w:p>
      <w:pPr>
        <w:pStyle w:val="80"/>
        <w:widowControl/>
        <w:numPr>
          <w:ilvl w:val="0"/>
          <w:numId w:val="0"/>
        </w:numPr>
        <w:spacing w:line="240" w:lineRule="auto"/>
        <w:ind w:firstLine="1344" w:firstLineChars="640"/>
        <w:jc w:val="lef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第四部分  评标标准和评标办法</w:t>
      </w:r>
    </w:p>
    <w:p>
      <w:pPr>
        <w:pStyle w:val="12"/>
        <w:keepNext/>
        <w:keepLines/>
        <w:numPr>
          <w:ilvl w:val="1"/>
          <w:numId w:val="21"/>
        </w:numPr>
        <w:spacing w:before="0" w:after="156" w:line="240" w:lineRule="auto"/>
        <w:ind w:left="238" w:firstLine="0"/>
        <w:rPr>
          <w:rStyle w:val="20"/>
          <w:rFonts w:hint="eastAsia" w:ascii="宋体" w:hAnsi="宋体" w:eastAsia="宋体" w:cs="宋体"/>
          <w:b/>
          <w:bCs/>
          <w:sz w:val="24"/>
          <w:szCs w:val="24"/>
          <w:lang w:val="en-US" w:eastAsia="zh-CN" w:bidi="ar-SA"/>
        </w:rPr>
      </w:pPr>
      <w:r>
        <w:rPr>
          <w:rStyle w:val="20"/>
          <w:rFonts w:hint="eastAsia" w:ascii="宋体" w:hAnsi="宋体" w:eastAsia="宋体" w:cs="宋体"/>
          <w:b/>
          <w:bCs/>
          <w:sz w:val="24"/>
          <w:szCs w:val="24"/>
          <w:lang w:val="en-US" w:eastAsia="zh-CN" w:bidi="ar-SA"/>
        </w:rPr>
        <w:t>评标原则</w:t>
      </w:r>
    </w:p>
    <w:p>
      <w:pPr>
        <w:snapToGrid w:val="0"/>
        <w:spacing w:line="240" w:lineRule="auto"/>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评标委员会在评标时，依据投标报价和各项技术、服务因素对投标人及投标货物进行综合评价，包括但不限于以下各项因素：</w:t>
      </w:r>
    </w:p>
    <w:p>
      <w:pPr>
        <w:numPr>
          <w:ilvl w:val="0"/>
          <w:numId w:val="22"/>
        </w:numPr>
        <w:tabs>
          <w:tab w:val="decimal" w:pos="840"/>
        </w:tabs>
        <w:snapToGrid w:val="0"/>
        <w:spacing w:line="240" w:lineRule="auto"/>
        <w:ind w:left="840" w:hanging="36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pPr>
        <w:numPr>
          <w:ilvl w:val="0"/>
          <w:numId w:val="22"/>
        </w:numPr>
        <w:tabs>
          <w:tab w:val="decimal" w:pos="840"/>
        </w:tabs>
        <w:snapToGrid w:val="0"/>
        <w:spacing w:line="240" w:lineRule="auto"/>
        <w:ind w:left="840" w:hanging="36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货物的性能和投标方案的合理性；</w:t>
      </w:r>
    </w:p>
    <w:p>
      <w:pPr>
        <w:numPr>
          <w:ilvl w:val="0"/>
          <w:numId w:val="22"/>
        </w:numPr>
        <w:tabs>
          <w:tab w:val="decimal" w:pos="840"/>
        </w:tabs>
        <w:snapToGrid w:val="0"/>
        <w:spacing w:line="240" w:lineRule="auto"/>
        <w:ind w:left="840" w:hanging="36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货物的配置与招标文件技术规格要求的偏离；</w:t>
      </w:r>
    </w:p>
    <w:p>
      <w:pPr>
        <w:numPr>
          <w:ilvl w:val="0"/>
          <w:numId w:val="22"/>
        </w:numPr>
        <w:tabs>
          <w:tab w:val="decimal" w:pos="840"/>
        </w:tabs>
        <w:snapToGrid w:val="0"/>
        <w:spacing w:line="240" w:lineRule="auto"/>
        <w:ind w:left="840" w:hanging="36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付款条件；</w:t>
      </w:r>
    </w:p>
    <w:p>
      <w:pPr>
        <w:numPr>
          <w:ilvl w:val="0"/>
          <w:numId w:val="22"/>
        </w:numPr>
        <w:tabs>
          <w:tab w:val="decimal" w:pos="840"/>
        </w:tabs>
        <w:snapToGrid w:val="0"/>
        <w:spacing w:line="240" w:lineRule="auto"/>
        <w:ind w:left="840" w:hanging="36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交货和配送能力的承诺，包括交货时间（货物应在招标文件规定的时间范围内交货，交货时间超过采购人可接受的时间范围的投标将视为非实质响应投标）等；</w:t>
      </w:r>
    </w:p>
    <w:p>
      <w:pPr>
        <w:numPr>
          <w:ilvl w:val="0"/>
          <w:numId w:val="22"/>
        </w:numPr>
        <w:tabs>
          <w:tab w:val="decimal" w:pos="840"/>
        </w:tabs>
        <w:snapToGrid w:val="0"/>
        <w:spacing w:line="240" w:lineRule="auto"/>
        <w:ind w:left="840" w:hanging="36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售后服务和备件供应（在保修期内所需的费用如果是单独报价的话，评标时应计入评标价；在保修期满后的服务费用应在投标文件中列明，但不包含在评标价中）以及其他有附加值的服务承诺；</w:t>
      </w:r>
    </w:p>
    <w:p>
      <w:pPr>
        <w:numPr>
          <w:ilvl w:val="0"/>
          <w:numId w:val="22"/>
        </w:numPr>
        <w:tabs>
          <w:tab w:val="decimal" w:pos="840"/>
        </w:tabs>
        <w:snapToGrid w:val="0"/>
        <w:spacing w:line="240" w:lineRule="auto"/>
        <w:ind w:left="840" w:hanging="36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财务状况和经营信誉；</w:t>
      </w:r>
    </w:p>
    <w:p>
      <w:pPr>
        <w:numPr>
          <w:ilvl w:val="0"/>
          <w:numId w:val="22"/>
        </w:numPr>
        <w:tabs>
          <w:tab w:val="decimal" w:pos="840"/>
        </w:tabs>
        <w:spacing w:line="240" w:lineRule="auto"/>
        <w:ind w:left="840" w:hanging="36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投标人提供的其它内容和条件。</w:t>
      </w:r>
    </w:p>
    <w:p>
      <w:pPr>
        <w:spacing w:line="240" w:lineRule="atLeast"/>
        <w:rPr>
          <w:rStyle w:val="20"/>
          <w:rFonts w:hint="eastAsia" w:ascii="宋体" w:hAnsi="宋体" w:eastAsia="宋体" w:cs="宋体"/>
          <w:sz w:val="21"/>
          <w:szCs w:val="24"/>
          <w:lang w:val="en-US" w:eastAsia="zh-CN" w:bidi="ar-SA"/>
        </w:rPr>
      </w:pPr>
      <w:r>
        <w:rPr>
          <w:rStyle w:val="20"/>
          <w:rFonts w:hint="eastAsia" w:ascii="宋体" w:hAnsi="宋体" w:eastAsia="宋体" w:cs="宋体"/>
          <w:b/>
          <w:sz w:val="21"/>
          <w:szCs w:val="28"/>
          <w:lang w:val="en-US" w:eastAsia="zh-CN" w:bidi="ar-SA"/>
        </w:rPr>
        <w:t xml:space="preserve"> </w:t>
      </w:r>
    </w:p>
    <w:p>
      <w:pPr>
        <w:pStyle w:val="12"/>
        <w:keepNext/>
        <w:keepLines/>
        <w:numPr>
          <w:ilvl w:val="1"/>
          <w:numId w:val="1"/>
        </w:numPr>
        <w:spacing w:before="0" w:after="156" w:line="240" w:lineRule="auto"/>
        <w:ind w:left="238" w:firstLine="0"/>
        <w:rPr>
          <w:rStyle w:val="20"/>
          <w:rFonts w:hint="eastAsia" w:ascii="宋体" w:hAnsi="宋体" w:eastAsia="宋体" w:cs="宋体"/>
          <w:b/>
          <w:bCs/>
          <w:sz w:val="24"/>
          <w:szCs w:val="24"/>
          <w:lang w:val="en-US" w:eastAsia="zh-CN" w:bidi="ar-SA"/>
        </w:rPr>
      </w:pPr>
      <w:r>
        <w:rPr>
          <w:rStyle w:val="20"/>
          <w:rFonts w:hint="eastAsia" w:ascii="宋体" w:hAnsi="宋体" w:eastAsia="宋体" w:cs="宋体"/>
          <w:b/>
          <w:bCs/>
          <w:sz w:val="24"/>
          <w:szCs w:val="24"/>
          <w:lang w:val="en-US" w:eastAsia="zh-CN" w:bidi="ar-SA"/>
        </w:rPr>
        <w:t>评标方法</w:t>
      </w:r>
    </w:p>
    <w:p>
      <w:pPr>
        <w:snapToGrid w:val="0"/>
        <w:spacing w:line="240" w:lineRule="auto"/>
        <w:ind w:firstLine="420" w:firstLineChars="200"/>
        <w:rPr>
          <w:rStyle w:val="20"/>
          <w:rFonts w:hint="eastAsia" w:ascii="宋体" w:hAnsi="宋体" w:eastAsia="宋体" w:cs="宋体"/>
          <w:sz w:val="21"/>
          <w:szCs w:val="24"/>
          <w:lang w:val="en-US" w:eastAsia="zh-CN" w:bidi="ar-SA"/>
        </w:rPr>
      </w:pPr>
      <w:r>
        <w:rPr>
          <w:rStyle w:val="20"/>
          <w:rFonts w:hint="eastAsia" w:ascii="宋体" w:hAnsi="宋体" w:eastAsia="宋体" w:cs="宋体"/>
          <w:sz w:val="21"/>
          <w:lang w:val="en-US" w:eastAsia="zh-CN" w:bidi="ar-SA"/>
        </w:rPr>
        <w:t>本次评标采用综合评分法，</w:t>
      </w:r>
      <w:r>
        <w:rPr>
          <w:rStyle w:val="20"/>
          <w:rFonts w:hint="eastAsia" w:ascii="宋体" w:hAnsi="宋体" w:eastAsia="宋体" w:cs="宋体"/>
          <w:sz w:val="21"/>
          <w:szCs w:val="24"/>
          <w:lang w:val="en-US" w:eastAsia="zh-CN" w:bidi="ar-SA"/>
        </w:rPr>
        <w:t>将投标企业资信、业绩、投标产品质量、售后服务、价格等各项因素作为评价的基础，综合评选出最佳投标方案。每一投标人的最终得分为所有评委评分给其评分的算数平均值。“#”项指标代表重要指标，投标产品不满足将被减分，关键指标（“</w:t>
      </w:r>
      <w:r>
        <w:rPr>
          <w:rStyle w:val="20"/>
          <w:rFonts w:hint="eastAsia" w:ascii="宋体" w:hAnsi="宋体" w:eastAsia="宋体" w:cs="宋体"/>
          <w:sz w:val="21"/>
          <w:szCs w:val="21"/>
          <w:lang w:val="en-US" w:eastAsia="zh-CN" w:bidi="ar-SA"/>
        </w:rPr>
        <w:t>*</w:t>
      </w:r>
      <w:r>
        <w:rPr>
          <w:rStyle w:val="20"/>
          <w:rFonts w:hint="eastAsia" w:ascii="宋体" w:hAnsi="宋体" w:eastAsia="宋体" w:cs="宋体"/>
          <w:sz w:val="21"/>
          <w:szCs w:val="24"/>
          <w:lang w:val="en-US" w:eastAsia="zh-CN" w:bidi="ar-SA"/>
        </w:rPr>
        <w:t>”指标）是必须满足的指标，如不满足将予以废标。</w:t>
      </w:r>
    </w:p>
    <w:p>
      <w:pPr>
        <w:spacing w:line="240" w:lineRule="auto"/>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本项目评分标准为：</w:t>
      </w:r>
    </w:p>
    <w:tbl>
      <w:tblPr>
        <w:tblStyle w:val="6"/>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1"/>
        <w:gridCol w:w="4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501" w:type="dxa"/>
            <w:tcBorders>
              <w:top w:val="single" w:color="000000" w:sz="4" w:space="0"/>
              <w:left w:val="single" w:color="000000" w:sz="4" w:space="0"/>
              <w:bottom w:val="single" w:color="000000" w:sz="4" w:space="0"/>
              <w:right w:val="single" w:color="000000" w:sz="4" w:space="0"/>
            </w:tcBorders>
            <w:vAlign w:val="top"/>
          </w:tcPr>
          <w:p>
            <w:pPr>
              <w:pStyle w:val="80"/>
              <w:widowControl/>
              <w:numPr>
                <w:ilvl w:val="0"/>
                <w:numId w:val="0"/>
              </w:numPr>
              <w:spacing w:line="240" w:lineRule="auto"/>
              <w:jc w:val="center"/>
              <w:rPr>
                <w:rStyle w:val="20"/>
                <w:rFonts w:hint="eastAsia" w:ascii="宋体" w:hAnsi="宋体" w:eastAsia="宋体" w:cs="宋体"/>
                <w:b/>
                <w:color w:val="auto"/>
                <w:sz w:val="21"/>
                <w:szCs w:val="21"/>
                <w:lang w:val="en-US" w:eastAsia="zh-CN" w:bidi="ar-SA"/>
              </w:rPr>
            </w:pPr>
            <w:r>
              <w:rPr>
                <w:rStyle w:val="20"/>
                <w:rFonts w:hint="eastAsia" w:ascii="宋体" w:hAnsi="宋体" w:eastAsia="宋体" w:cs="宋体"/>
                <w:b/>
                <w:color w:val="auto"/>
                <w:sz w:val="21"/>
                <w:szCs w:val="21"/>
                <w:lang w:val="en-US" w:eastAsia="zh-CN" w:bidi="ar-SA"/>
              </w:rPr>
              <w:t>评 分 因 素</w:t>
            </w:r>
          </w:p>
        </w:tc>
        <w:tc>
          <w:tcPr>
            <w:tcW w:w="4502" w:type="dxa"/>
            <w:tcBorders>
              <w:top w:val="single" w:color="000000" w:sz="4" w:space="0"/>
              <w:left w:val="single" w:color="000000" w:sz="4" w:space="0"/>
              <w:bottom w:val="single" w:color="000000" w:sz="4" w:space="0"/>
              <w:right w:val="single" w:color="000000" w:sz="4" w:space="0"/>
            </w:tcBorders>
            <w:vAlign w:val="top"/>
          </w:tcPr>
          <w:p>
            <w:pPr>
              <w:pStyle w:val="80"/>
              <w:widowControl/>
              <w:numPr>
                <w:ilvl w:val="0"/>
                <w:numId w:val="0"/>
              </w:numPr>
              <w:spacing w:line="240" w:lineRule="auto"/>
              <w:jc w:val="center"/>
              <w:rPr>
                <w:rStyle w:val="20"/>
                <w:rFonts w:hint="eastAsia" w:ascii="宋体" w:hAnsi="宋体" w:eastAsia="宋体" w:cs="宋体"/>
                <w:b/>
                <w:color w:val="auto"/>
                <w:sz w:val="21"/>
                <w:szCs w:val="21"/>
                <w:lang w:val="en-US" w:eastAsia="zh-CN" w:bidi="ar-SA"/>
              </w:rPr>
            </w:pPr>
            <w:r>
              <w:rPr>
                <w:rStyle w:val="20"/>
                <w:rFonts w:hint="eastAsia" w:ascii="宋体" w:hAnsi="宋体" w:eastAsia="宋体" w:cs="宋体"/>
                <w:b/>
                <w:color w:val="auto"/>
                <w:sz w:val="21"/>
                <w:szCs w:val="21"/>
                <w:lang w:val="en-US" w:eastAsia="zh-CN" w:bidi="ar-SA"/>
              </w:rPr>
              <w:t>分 值 分 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501" w:type="dxa"/>
            <w:tcBorders>
              <w:top w:val="single" w:color="000000" w:sz="4" w:space="0"/>
              <w:left w:val="single" w:color="000000" w:sz="4" w:space="0"/>
              <w:bottom w:val="single" w:color="000000" w:sz="4" w:space="0"/>
              <w:right w:val="single" w:color="000000" w:sz="4" w:space="0"/>
            </w:tcBorders>
            <w:vAlign w:val="top"/>
          </w:tcPr>
          <w:p>
            <w:pPr>
              <w:pStyle w:val="80"/>
              <w:widowControl/>
              <w:numPr>
                <w:ilvl w:val="0"/>
                <w:numId w:val="0"/>
              </w:numPr>
              <w:spacing w:line="240" w:lineRule="auto"/>
              <w:jc w:val="center"/>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商 务 部 分</w:t>
            </w:r>
          </w:p>
        </w:tc>
        <w:tc>
          <w:tcPr>
            <w:tcW w:w="4502" w:type="dxa"/>
            <w:tcBorders>
              <w:top w:val="single" w:color="000000" w:sz="4" w:space="0"/>
              <w:left w:val="single" w:color="000000" w:sz="4" w:space="0"/>
              <w:bottom w:val="single" w:color="000000" w:sz="4" w:space="0"/>
              <w:right w:val="single" w:color="000000" w:sz="4" w:space="0"/>
            </w:tcBorders>
            <w:vAlign w:val="top"/>
          </w:tcPr>
          <w:p>
            <w:pPr>
              <w:pStyle w:val="80"/>
              <w:widowControl/>
              <w:numPr>
                <w:ilvl w:val="0"/>
                <w:numId w:val="0"/>
              </w:numPr>
              <w:spacing w:line="240" w:lineRule="auto"/>
              <w:jc w:val="center"/>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501" w:type="dxa"/>
            <w:tcBorders>
              <w:top w:val="single" w:color="000000" w:sz="4" w:space="0"/>
              <w:left w:val="single" w:color="000000" w:sz="4" w:space="0"/>
              <w:bottom w:val="single" w:color="000000" w:sz="4" w:space="0"/>
              <w:right w:val="single" w:color="000000" w:sz="4" w:space="0"/>
            </w:tcBorders>
            <w:vAlign w:val="top"/>
          </w:tcPr>
          <w:p>
            <w:pPr>
              <w:pStyle w:val="80"/>
              <w:widowControl/>
              <w:numPr>
                <w:ilvl w:val="0"/>
                <w:numId w:val="0"/>
              </w:numPr>
              <w:spacing w:line="240" w:lineRule="auto"/>
              <w:jc w:val="center"/>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服 务 部 分</w:t>
            </w:r>
          </w:p>
        </w:tc>
        <w:tc>
          <w:tcPr>
            <w:tcW w:w="4502" w:type="dxa"/>
            <w:tcBorders>
              <w:top w:val="single" w:color="000000" w:sz="4" w:space="0"/>
              <w:left w:val="single" w:color="000000" w:sz="4" w:space="0"/>
              <w:bottom w:val="single" w:color="000000" w:sz="4" w:space="0"/>
              <w:right w:val="single" w:color="000000" w:sz="4" w:space="0"/>
            </w:tcBorders>
            <w:vAlign w:val="top"/>
          </w:tcPr>
          <w:p>
            <w:pPr>
              <w:pStyle w:val="80"/>
              <w:widowControl/>
              <w:numPr>
                <w:ilvl w:val="0"/>
                <w:numId w:val="0"/>
              </w:numPr>
              <w:spacing w:line="240" w:lineRule="auto"/>
              <w:jc w:val="center"/>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501" w:type="dxa"/>
            <w:tcBorders>
              <w:top w:val="single" w:color="000000" w:sz="4" w:space="0"/>
              <w:left w:val="single" w:color="000000" w:sz="4" w:space="0"/>
              <w:bottom w:val="single" w:color="000000" w:sz="4" w:space="0"/>
              <w:right w:val="single" w:color="000000" w:sz="4" w:space="0"/>
            </w:tcBorders>
            <w:vAlign w:val="top"/>
          </w:tcPr>
          <w:p>
            <w:pPr>
              <w:pStyle w:val="80"/>
              <w:widowControl/>
              <w:numPr>
                <w:ilvl w:val="0"/>
                <w:numId w:val="0"/>
              </w:numPr>
              <w:spacing w:line="240" w:lineRule="auto"/>
              <w:jc w:val="center"/>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技 术 部 分</w:t>
            </w:r>
          </w:p>
        </w:tc>
        <w:tc>
          <w:tcPr>
            <w:tcW w:w="4502" w:type="dxa"/>
            <w:tcBorders>
              <w:top w:val="single" w:color="000000" w:sz="4" w:space="0"/>
              <w:left w:val="single" w:color="000000" w:sz="4" w:space="0"/>
              <w:bottom w:val="single" w:color="000000" w:sz="4" w:space="0"/>
              <w:right w:val="single" w:color="000000" w:sz="4" w:space="0"/>
            </w:tcBorders>
            <w:vAlign w:val="top"/>
          </w:tcPr>
          <w:p>
            <w:pPr>
              <w:pStyle w:val="80"/>
              <w:widowControl/>
              <w:numPr>
                <w:ilvl w:val="0"/>
                <w:numId w:val="0"/>
              </w:numPr>
              <w:spacing w:line="240" w:lineRule="auto"/>
              <w:jc w:val="center"/>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501" w:type="dxa"/>
            <w:tcBorders>
              <w:top w:val="single" w:color="000000" w:sz="4" w:space="0"/>
              <w:left w:val="single" w:color="000000" w:sz="4" w:space="0"/>
              <w:bottom w:val="single" w:color="000000" w:sz="4" w:space="0"/>
              <w:right w:val="single" w:color="000000" w:sz="4" w:space="0"/>
            </w:tcBorders>
            <w:vAlign w:val="top"/>
          </w:tcPr>
          <w:p>
            <w:pPr>
              <w:pStyle w:val="80"/>
              <w:widowControl/>
              <w:numPr>
                <w:ilvl w:val="0"/>
                <w:numId w:val="0"/>
              </w:numPr>
              <w:spacing w:line="240" w:lineRule="auto"/>
              <w:jc w:val="center"/>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价 格 分</w:t>
            </w:r>
          </w:p>
        </w:tc>
        <w:tc>
          <w:tcPr>
            <w:tcW w:w="4502" w:type="dxa"/>
            <w:tcBorders>
              <w:top w:val="single" w:color="000000" w:sz="4" w:space="0"/>
              <w:left w:val="single" w:color="000000" w:sz="4" w:space="0"/>
              <w:bottom w:val="single" w:color="000000" w:sz="4" w:space="0"/>
              <w:right w:val="single" w:color="000000" w:sz="4" w:space="0"/>
            </w:tcBorders>
            <w:vAlign w:val="top"/>
          </w:tcPr>
          <w:p>
            <w:pPr>
              <w:pStyle w:val="80"/>
              <w:widowControl/>
              <w:numPr>
                <w:ilvl w:val="0"/>
                <w:numId w:val="0"/>
              </w:numPr>
              <w:spacing w:line="240" w:lineRule="auto"/>
              <w:jc w:val="center"/>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501" w:type="dxa"/>
            <w:tcBorders>
              <w:top w:val="single" w:color="000000" w:sz="4" w:space="0"/>
              <w:left w:val="single" w:color="000000" w:sz="4" w:space="0"/>
              <w:bottom w:val="single" w:color="000000" w:sz="4" w:space="0"/>
              <w:right w:val="single" w:color="000000" w:sz="4" w:space="0"/>
            </w:tcBorders>
            <w:vAlign w:val="top"/>
          </w:tcPr>
          <w:p>
            <w:pPr>
              <w:pStyle w:val="80"/>
              <w:widowControl/>
              <w:numPr>
                <w:ilvl w:val="0"/>
                <w:numId w:val="0"/>
              </w:numPr>
              <w:spacing w:line="240" w:lineRule="auto"/>
              <w:jc w:val="center"/>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合  计</w:t>
            </w:r>
          </w:p>
        </w:tc>
        <w:tc>
          <w:tcPr>
            <w:tcW w:w="4502" w:type="dxa"/>
            <w:tcBorders>
              <w:top w:val="single" w:color="000000" w:sz="4" w:space="0"/>
              <w:left w:val="single" w:color="000000" w:sz="4" w:space="0"/>
              <w:bottom w:val="single" w:color="000000" w:sz="4" w:space="0"/>
              <w:right w:val="single" w:color="000000" w:sz="4" w:space="0"/>
            </w:tcBorders>
            <w:vAlign w:val="top"/>
          </w:tcPr>
          <w:p>
            <w:pPr>
              <w:pStyle w:val="80"/>
              <w:widowControl/>
              <w:numPr>
                <w:ilvl w:val="0"/>
                <w:numId w:val="0"/>
              </w:numPr>
              <w:spacing w:line="240" w:lineRule="auto"/>
              <w:jc w:val="center"/>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100分</w:t>
            </w:r>
          </w:p>
        </w:tc>
      </w:tr>
    </w:tbl>
    <w:p>
      <w:pPr>
        <w:spacing w:line="240" w:lineRule="auto"/>
        <w:ind w:firstLine="420" w:firstLineChars="200"/>
        <w:rPr>
          <w:rStyle w:val="20"/>
          <w:rFonts w:hint="eastAsia" w:ascii="宋体" w:hAnsi="宋体" w:eastAsia="宋体" w:cs="宋体"/>
          <w:sz w:val="21"/>
          <w:szCs w:val="21"/>
          <w:lang w:val="en-US" w:eastAsia="zh-CN" w:bidi="ar-SA"/>
        </w:rPr>
      </w:pPr>
    </w:p>
    <w:p>
      <w:pPr>
        <w:spacing w:line="240" w:lineRule="atLeast"/>
        <w:ind w:left="422" w:leftChars="176"/>
        <w:rPr>
          <w:rStyle w:val="20"/>
          <w:rFonts w:hint="eastAsia" w:ascii="宋体" w:hAnsi="宋体" w:eastAsia="宋体" w:cs="宋体"/>
          <w:sz w:val="21"/>
          <w:szCs w:val="24"/>
          <w:lang w:val="en-US" w:eastAsia="zh-CN" w:bidi="ar-SA"/>
        </w:rPr>
      </w:pPr>
      <w:r>
        <w:rPr>
          <w:rStyle w:val="20"/>
          <w:rFonts w:hint="eastAsia" w:ascii="宋体" w:hAnsi="宋体" w:eastAsia="宋体" w:cs="宋体"/>
          <w:sz w:val="21"/>
          <w:szCs w:val="24"/>
          <w:lang w:val="en-US" w:eastAsia="zh-CN" w:bidi="ar-SA"/>
        </w:rPr>
        <w:t>评分细则如下：</w:t>
      </w:r>
    </w:p>
    <w:tbl>
      <w:tblPr>
        <w:tblStyle w:val="6"/>
        <w:tblW w:w="8895" w:type="dxa"/>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26"/>
        <w:gridCol w:w="1134"/>
        <w:gridCol w:w="1134"/>
        <w:gridCol w:w="4923"/>
        <w:gridCol w:w="426"/>
        <w:gridCol w:w="426"/>
        <w:gridCol w:w="42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966" w:hRule="atLeast"/>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序号</w:t>
            </w:r>
          </w:p>
        </w:tc>
        <w:tc>
          <w:tcPr>
            <w:tcW w:w="1134" w:type="dxa"/>
            <w:tcBorders>
              <w:top w:val="single" w:color="000000" w:sz="4" w:space="0"/>
              <w:left w:val="nil"/>
              <w:bottom w:val="single" w:color="000000" w:sz="4" w:space="0"/>
              <w:right w:val="single" w:color="000000" w:sz="4" w:space="0"/>
            </w:tcBorders>
            <w:vAlign w:val="center"/>
          </w:tcPr>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技术商务分值项</w:t>
            </w:r>
          </w:p>
        </w:tc>
        <w:tc>
          <w:tcPr>
            <w:tcW w:w="1134" w:type="dxa"/>
            <w:tcBorders>
              <w:top w:val="single" w:color="000000" w:sz="4" w:space="0"/>
              <w:left w:val="nil"/>
              <w:bottom w:val="single" w:color="000000" w:sz="4" w:space="0"/>
              <w:right w:val="single" w:color="000000" w:sz="4" w:space="0"/>
            </w:tcBorders>
            <w:vAlign w:val="center"/>
          </w:tcPr>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w:t>
            </w:r>
          </w:p>
        </w:tc>
        <w:tc>
          <w:tcPr>
            <w:tcW w:w="4923" w:type="dxa"/>
            <w:tcBorders>
              <w:top w:val="single" w:color="000000" w:sz="4" w:space="0"/>
              <w:left w:val="nil"/>
              <w:bottom w:val="single" w:color="000000" w:sz="4" w:space="0"/>
              <w:right w:val="single" w:color="000000" w:sz="4" w:space="0"/>
            </w:tcBorders>
            <w:noWrap/>
            <w:vAlign w:val="center"/>
          </w:tcPr>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说　　　　明</w:t>
            </w:r>
          </w:p>
        </w:tc>
        <w:tc>
          <w:tcPr>
            <w:tcW w:w="426" w:type="dxa"/>
            <w:tcBorders>
              <w:top w:val="single" w:color="000000" w:sz="4" w:space="0"/>
              <w:left w:val="nil"/>
              <w:bottom w:val="single" w:color="000000" w:sz="4" w:space="0"/>
              <w:right w:val="single" w:color="000000" w:sz="4" w:space="0"/>
            </w:tcBorders>
            <w:vAlign w:val="center"/>
          </w:tcPr>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投标人1</w:t>
            </w:r>
          </w:p>
        </w:tc>
        <w:tc>
          <w:tcPr>
            <w:tcW w:w="426" w:type="dxa"/>
            <w:tcBorders>
              <w:top w:val="single" w:color="000000" w:sz="4" w:space="0"/>
              <w:left w:val="nil"/>
              <w:bottom w:val="single" w:color="000000" w:sz="4" w:space="0"/>
              <w:right w:val="single" w:color="000000" w:sz="4" w:space="0"/>
            </w:tcBorders>
            <w:vAlign w:val="center"/>
          </w:tcPr>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投标人2</w:t>
            </w:r>
          </w:p>
        </w:tc>
        <w:tc>
          <w:tcPr>
            <w:tcW w:w="426" w:type="dxa"/>
            <w:tcBorders>
              <w:top w:val="single" w:color="000000" w:sz="4" w:space="0"/>
              <w:left w:val="nil"/>
              <w:bottom w:val="single" w:color="000000" w:sz="4" w:space="0"/>
              <w:right w:val="single" w:color="000000" w:sz="4" w:space="0"/>
            </w:tcBorders>
            <w:vAlign w:val="center"/>
          </w:tcPr>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投标人3</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754" w:hRule="atLeast"/>
        </w:trPr>
        <w:tc>
          <w:tcPr>
            <w:tcW w:w="426" w:type="dxa"/>
            <w:vMerge w:val="restart"/>
            <w:tcBorders>
              <w:top w:val="nil"/>
              <w:left w:val="single" w:color="000000" w:sz="4" w:space="0"/>
              <w:bottom w:val="single" w:color="000000" w:sz="4" w:space="0"/>
              <w:right w:val="single" w:color="000000" w:sz="4" w:space="0"/>
            </w:tcBorders>
            <w:vAlign w:val="center"/>
          </w:tcPr>
          <w:p>
            <w:pPr>
              <w:spacing w:line="360" w:lineRule="atLeast"/>
              <w:jc w:val="righ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w:t>
            </w:r>
          </w:p>
        </w:tc>
        <w:tc>
          <w:tcPr>
            <w:tcW w:w="1134" w:type="dxa"/>
            <w:vMerge w:val="restart"/>
            <w:tcBorders>
              <w:top w:val="nil"/>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商务得分</w:t>
            </w:r>
            <w:r>
              <w:rPr>
                <w:rStyle w:val="20"/>
                <w:rFonts w:hint="eastAsia" w:ascii="宋体" w:hAnsi="宋体" w:eastAsia="宋体" w:cs="宋体"/>
                <w:sz w:val="21"/>
                <w:szCs w:val="21"/>
                <w:lang w:val="en-US" w:eastAsia="zh-CN" w:bidi="ar-SA"/>
              </w:rPr>
              <w:br w:type="textWrapping" w:clear="all"/>
            </w:r>
            <w:r>
              <w:rPr>
                <w:rStyle w:val="20"/>
                <w:rFonts w:hint="eastAsia" w:ascii="宋体" w:hAnsi="宋体" w:eastAsia="宋体" w:cs="宋体"/>
                <w:sz w:val="21"/>
                <w:szCs w:val="21"/>
                <w:lang w:val="en-US" w:eastAsia="zh-CN" w:bidi="ar-SA"/>
              </w:rPr>
              <w:t>（0-10分）</w:t>
            </w:r>
          </w:p>
        </w:tc>
        <w:tc>
          <w:tcPr>
            <w:tcW w:w="1134" w:type="dxa"/>
            <w:vMerge w:val="restart"/>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企业资质（6分）</w:t>
            </w:r>
          </w:p>
        </w:tc>
        <w:tc>
          <w:tcPr>
            <w:tcW w:w="4923" w:type="dxa"/>
            <w:tcBorders>
              <w:top w:val="nil"/>
              <w:left w:val="nil"/>
              <w:bottom w:val="single" w:color="000000" w:sz="4" w:space="0"/>
              <w:right w:val="single" w:color="000000" w:sz="4" w:space="0"/>
            </w:tcBorders>
            <w:vAlign w:val="center"/>
          </w:tcPr>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1.投标人具有近五年内参与国家或地区重大项目并能够提供证明复印件得1分，否则不得分；</w:t>
            </w:r>
          </w:p>
        </w:tc>
        <w:tc>
          <w:tcPr>
            <w:tcW w:w="426" w:type="dxa"/>
            <w:vMerge w:val="restart"/>
            <w:tcBorders>
              <w:top w:val="nil"/>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FF"/>
                <w:sz w:val="21"/>
                <w:szCs w:val="21"/>
                <w:lang w:val="en-US" w:eastAsia="zh-CN" w:bidi="ar-SA"/>
              </w:rPr>
            </w:pPr>
            <w:r>
              <w:rPr>
                <w:rStyle w:val="20"/>
                <w:rFonts w:hint="eastAsia" w:ascii="宋体" w:hAnsi="宋体" w:eastAsia="宋体" w:cs="宋体"/>
                <w:color w:val="0000FF"/>
                <w:sz w:val="21"/>
                <w:szCs w:val="21"/>
                <w:lang w:val="en-US" w:eastAsia="zh-CN" w:bidi="ar-SA"/>
              </w:rPr>
              <w:t>　</w:t>
            </w:r>
          </w:p>
        </w:tc>
        <w:tc>
          <w:tcPr>
            <w:tcW w:w="426" w:type="dxa"/>
            <w:vMerge w:val="restart"/>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r>
              <w:rPr>
                <w:rStyle w:val="20"/>
                <w:rFonts w:hint="eastAsia" w:ascii="宋体" w:hAnsi="宋体" w:eastAsia="宋体" w:cs="宋体"/>
                <w:color w:val="0000FF"/>
                <w:sz w:val="21"/>
                <w:szCs w:val="21"/>
                <w:lang w:val="en-US" w:eastAsia="zh-CN" w:bidi="ar-SA"/>
              </w:rPr>
              <w:t>　</w:t>
            </w:r>
          </w:p>
        </w:tc>
        <w:tc>
          <w:tcPr>
            <w:tcW w:w="426" w:type="dxa"/>
            <w:vMerge w:val="restart"/>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r>
              <w:rPr>
                <w:rStyle w:val="20"/>
                <w:rFonts w:hint="eastAsia" w:ascii="宋体" w:hAnsi="宋体" w:eastAsia="宋体" w:cs="宋体"/>
                <w:color w:val="0000FF"/>
                <w:sz w:val="21"/>
                <w:szCs w:val="21"/>
                <w:lang w:val="en-US" w:eastAsia="zh-CN" w:bidi="ar-SA"/>
              </w:rPr>
              <w:t>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1344" w:hRule="atLeast"/>
        </w:trPr>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4923" w:type="dxa"/>
            <w:tcBorders>
              <w:top w:val="nil"/>
              <w:left w:val="nil"/>
              <w:bottom w:val="single" w:color="000000" w:sz="4" w:space="0"/>
              <w:right w:val="single" w:color="000000" w:sz="4" w:space="0"/>
            </w:tcBorders>
            <w:vAlign w:val="center"/>
          </w:tcPr>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2.投标人应具有国家高新技术企业证书、、双软证书（软件产品认证书和软件企业认证书）、质量管理体系认证证书.得1分。</w:t>
            </w:r>
          </w:p>
        </w:tc>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960" w:hRule="atLeast"/>
        </w:trPr>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4923" w:type="dxa"/>
            <w:tcBorders>
              <w:top w:val="nil"/>
              <w:left w:val="nil"/>
              <w:bottom w:val="single" w:color="000000" w:sz="4" w:space="0"/>
              <w:right w:val="single" w:color="000000" w:sz="4" w:space="0"/>
            </w:tcBorders>
            <w:vAlign w:val="center"/>
          </w:tcPr>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3.投标人具有本项目相关的软件著作权证书（信息标准管理、科研信息管理、临床信息化、元数据工具、数据集成、主数据管理）并提供证书复印件，一个证书复印件1分，最多4分，没有不得分。</w:t>
            </w:r>
          </w:p>
        </w:tc>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640" w:hRule="atLeast"/>
        </w:trPr>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1134"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相关项目经验（4分）</w:t>
            </w:r>
          </w:p>
        </w:tc>
        <w:tc>
          <w:tcPr>
            <w:tcW w:w="4923" w:type="dxa"/>
            <w:tcBorders>
              <w:top w:val="nil"/>
              <w:left w:val="nil"/>
              <w:bottom w:val="single" w:color="000000" w:sz="4" w:space="0"/>
              <w:right w:val="single" w:color="000000" w:sz="4" w:space="0"/>
            </w:tcBorders>
            <w:vAlign w:val="center"/>
          </w:tcPr>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 投标人须提供近五年内，在医学领域做过类似项目方案的，每提供一个案例加1分，最高4分。</w:t>
            </w:r>
          </w:p>
        </w:tc>
        <w:tc>
          <w:tcPr>
            <w:tcW w:w="426" w:type="dxa"/>
            <w:tcBorders>
              <w:top w:val="nil"/>
              <w:left w:val="nil"/>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FF"/>
                <w:sz w:val="21"/>
                <w:szCs w:val="21"/>
                <w:lang w:val="en-US" w:eastAsia="zh-CN" w:bidi="ar-SA"/>
              </w:rPr>
            </w:pPr>
            <w:r>
              <w:rPr>
                <w:rStyle w:val="20"/>
                <w:rFonts w:hint="eastAsia" w:ascii="宋体" w:hAnsi="宋体" w:eastAsia="宋体" w:cs="宋体"/>
                <w:color w:val="0000FF"/>
                <w:sz w:val="21"/>
                <w:szCs w:val="21"/>
                <w:lang w:val="en-US" w:eastAsia="zh-CN" w:bidi="ar-SA"/>
              </w:rPr>
              <w:t>　</w:t>
            </w:r>
          </w:p>
        </w:tc>
        <w:tc>
          <w:tcPr>
            <w:tcW w:w="426"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r>
              <w:rPr>
                <w:rStyle w:val="20"/>
                <w:rFonts w:hint="eastAsia" w:ascii="宋体" w:hAnsi="宋体" w:eastAsia="宋体" w:cs="宋体"/>
                <w:color w:val="0000FF"/>
                <w:sz w:val="21"/>
                <w:szCs w:val="21"/>
                <w:lang w:val="en-US" w:eastAsia="zh-CN" w:bidi="ar-SA"/>
              </w:rPr>
              <w:t>　</w:t>
            </w:r>
          </w:p>
        </w:tc>
        <w:tc>
          <w:tcPr>
            <w:tcW w:w="426"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r>
              <w:rPr>
                <w:rStyle w:val="20"/>
                <w:rFonts w:hint="eastAsia" w:ascii="宋体" w:hAnsi="宋体" w:eastAsia="宋体" w:cs="宋体"/>
                <w:color w:val="0000FF"/>
                <w:sz w:val="21"/>
                <w:szCs w:val="21"/>
                <w:lang w:val="en-US" w:eastAsia="zh-CN" w:bidi="ar-SA"/>
              </w:rPr>
              <w:t>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660" w:hRule="atLeast"/>
        </w:trPr>
        <w:tc>
          <w:tcPr>
            <w:tcW w:w="426" w:type="dxa"/>
            <w:vMerge w:val="restart"/>
            <w:tcBorders>
              <w:top w:val="nil"/>
              <w:left w:val="single" w:color="000000" w:sz="4" w:space="0"/>
              <w:bottom w:val="single" w:color="000000" w:sz="4" w:space="0"/>
              <w:right w:val="single" w:color="000000" w:sz="4" w:space="0"/>
            </w:tcBorders>
            <w:vAlign w:val="center"/>
          </w:tcPr>
          <w:p>
            <w:pPr>
              <w:spacing w:line="360" w:lineRule="atLeast"/>
              <w:jc w:val="righ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2</w:t>
            </w:r>
          </w:p>
        </w:tc>
        <w:tc>
          <w:tcPr>
            <w:tcW w:w="1134" w:type="dxa"/>
            <w:vMerge w:val="restart"/>
            <w:tcBorders>
              <w:top w:val="nil"/>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服务得分</w:t>
            </w:r>
            <w:r>
              <w:rPr>
                <w:rStyle w:val="20"/>
                <w:rFonts w:hint="eastAsia" w:ascii="宋体" w:hAnsi="宋体" w:eastAsia="宋体" w:cs="宋体"/>
                <w:sz w:val="21"/>
                <w:szCs w:val="21"/>
                <w:lang w:val="en-US" w:eastAsia="zh-CN" w:bidi="ar-SA"/>
              </w:rPr>
              <w:br w:type="textWrapping" w:clear="all"/>
            </w:r>
            <w:r>
              <w:rPr>
                <w:rStyle w:val="20"/>
                <w:rFonts w:hint="eastAsia" w:ascii="宋体" w:hAnsi="宋体" w:eastAsia="宋体" w:cs="宋体"/>
                <w:sz w:val="21"/>
                <w:szCs w:val="21"/>
                <w:lang w:val="en-US" w:eastAsia="zh-CN" w:bidi="ar-SA"/>
              </w:rPr>
              <w:t>（0-10分）</w:t>
            </w:r>
          </w:p>
        </w:tc>
        <w:tc>
          <w:tcPr>
            <w:tcW w:w="1134"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实施及培训（5分）</w:t>
            </w:r>
          </w:p>
        </w:tc>
        <w:tc>
          <w:tcPr>
            <w:tcW w:w="4923"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参照第五部分的系统部署实施，提供有效的技术支持和部署实施项目计划与培训计划。 不满足要求的每项扣1分，最高5份。</w:t>
            </w:r>
          </w:p>
        </w:tc>
        <w:tc>
          <w:tcPr>
            <w:tcW w:w="426" w:type="dxa"/>
            <w:tcBorders>
              <w:top w:val="nil"/>
              <w:left w:val="nil"/>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FF"/>
                <w:sz w:val="21"/>
                <w:szCs w:val="21"/>
                <w:lang w:val="en-US" w:eastAsia="zh-CN" w:bidi="ar-SA"/>
              </w:rPr>
            </w:pPr>
            <w:r>
              <w:rPr>
                <w:rStyle w:val="20"/>
                <w:rFonts w:hint="eastAsia" w:ascii="宋体" w:hAnsi="宋体" w:eastAsia="宋体" w:cs="宋体"/>
                <w:color w:val="0000FF"/>
                <w:sz w:val="21"/>
                <w:szCs w:val="21"/>
                <w:lang w:val="en-US" w:eastAsia="zh-CN" w:bidi="ar-SA"/>
              </w:rPr>
              <w:t>　</w:t>
            </w:r>
          </w:p>
        </w:tc>
        <w:tc>
          <w:tcPr>
            <w:tcW w:w="426"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r>
              <w:rPr>
                <w:rStyle w:val="20"/>
                <w:rFonts w:hint="eastAsia" w:ascii="宋体" w:hAnsi="宋体" w:eastAsia="宋体" w:cs="宋体"/>
                <w:color w:val="0000FF"/>
                <w:sz w:val="21"/>
                <w:szCs w:val="21"/>
                <w:lang w:val="en-US" w:eastAsia="zh-CN" w:bidi="ar-SA"/>
              </w:rPr>
              <w:t>　</w:t>
            </w:r>
          </w:p>
        </w:tc>
        <w:tc>
          <w:tcPr>
            <w:tcW w:w="426"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r>
              <w:rPr>
                <w:rStyle w:val="20"/>
                <w:rFonts w:hint="eastAsia" w:ascii="宋体" w:hAnsi="宋体" w:eastAsia="宋体" w:cs="宋体"/>
                <w:color w:val="0000FF"/>
                <w:sz w:val="21"/>
                <w:szCs w:val="21"/>
                <w:lang w:val="en-US" w:eastAsia="zh-CN" w:bidi="ar-SA"/>
              </w:rPr>
              <w:t>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640" w:hRule="atLeast"/>
        </w:trPr>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1134" w:type="dxa"/>
            <w:vMerge w:val="restart"/>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售后服务（5分）</w:t>
            </w:r>
          </w:p>
        </w:tc>
        <w:tc>
          <w:tcPr>
            <w:tcW w:w="4923" w:type="dxa"/>
            <w:tcBorders>
              <w:top w:val="nil"/>
              <w:left w:val="nil"/>
              <w:bottom w:val="single" w:color="000000" w:sz="4" w:space="0"/>
              <w:right w:val="single" w:color="000000" w:sz="4" w:space="0"/>
            </w:tcBorders>
            <w:vAlign w:val="center"/>
          </w:tcPr>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   依据第五部分 提供3年即36个月的维护服务，全部满足记1分，可提供更多服务的酌情评1-0分。</w:t>
            </w:r>
          </w:p>
        </w:tc>
        <w:tc>
          <w:tcPr>
            <w:tcW w:w="426" w:type="dxa"/>
            <w:vMerge w:val="restart"/>
            <w:tcBorders>
              <w:top w:val="nil"/>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FF"/>
                <w:sz w:val="21"/>
                <w:szCs w:val="21"/>
                <w:lang w:val="en-US" w:eastAsia="zh-CN" w:bidi="ar-SA"/>
              </w:rPr>
            </w:pPr>
            <w:r>
              <w:rPr>
                <w:rStyle w:val="20"/>
                <w:rFonts w:hint="eastAsia" w:ascii="宋体" w:hAnsi="宋体" w:eastAsia="宋体" w:cs="宋体"/>
                <w:color w:val="0000FF"/>
                <w:sz w:val="21"/>
                <w:szCs w:val="21"/>
                <w:lang w:val="en-US" w:eastAsia="zh-CN" w:bidi="ar-SA"/>
              </w:rPr>
              <w:t>　</w:t>
            </w:r>
          </w:p>
        </w:tc>
        <w:tc>
          <w:tcPr>
            <w:tcW w:w="426" w:type="dxa"/>
            <w:vMerge w:val="restart"/>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r>
              <w:rPr>
                <w:rStyle w:val="20"/>
                <w:rFonts w:hint="eastAsia" w:ascii="宋体" w:hAnsi="宋体" w:eastAsia="宋体" w:cs="宋体"/>
                <w:color w:val="0000FF"/>
                <w:sz w:val="21"/>
                <w:szCs w:val="21"/>
                <w:lang w:val="en-US" w:eastAsia="zh-CN" w:bidi="ar-SA"/>
              </w:rPr>
              <w:t>　</w:t>
            </w:r>
          </w:p>
        </w:tc>
        <w:tc>
          <w:tcPr>
            <w:tcW w:w="426" w:type="dxa"/>
            <w:vMerge w:val="restart"/>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r>
              <w:rPr>
                <w:rStyle w:val="20"/>
                <w:rFonts w:hint="eastAsia" w:ascii="宋体" w:hAnsi="宋体" w:eastAsia="宋体" w:cs="宋体"/>
                <w:color w:val="0000FF"/>
                <w:sz w:val="21"/>
                <w:szCs w:val="21"/>
                <w:lang w:val="en-US" w:eastAsia="zh-CN" w:bidi="ar-SA"/>
              </w:rPr>
              <w:t>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960" w:hRule="atLeast"/>
        </w:trPr>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4923" w:type="dxa"/>
            <w:tcBorders>
              <w:top w:val="nil"/>
              <w:left w:val="nil"/>
              <w:bottom w:val="single" w:color="000000" w:sz="4" w:space="0"/>
              <w:right w:val="single" w:color="000000" w:sz="4" w:space="0"/>
            </w:tcBorders>
            <w:vAlign w:val="center"/>
          </w:tcPr>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2)   要求技术支持及本地售后服务，投标方提出的方案需包括服务标准、服务流程、服务内容、响应时间等内容，专家对方案的合理性、可行性进行横向比较，优秀记2分，良好记1分，差记0分。</w:t>
            </w:r>
          </w:p>
        </w:tc>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1280" w:hRule="atLeast"/>
        </w:trPr>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4923" w:type="dxa"/>
            <w:tcBorders>
              <w:top w:val="nil"/>
              <w:left w:val="nil"/>
              <w:bottom w:val="single" w:color="000000" w:sz="4" w:space="0"/>
              <w:right w:val="single" w:color="000000" w:sz="4" w:space="0"/>
            </w:tcBorders>
            <w:vAlign w:val="center"/>
          </w:tcPr>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3)   要求投标方具有本地服务团队，专家对投标方本地服务团队的人员数量、能力进行横向比较，优秀记2分，良好记1分，差记0分。在招标人所在地具有常设服务机构（提供注册地在项目地的公司营业执照或分公司营业执照），以保证有稳定的售后服务团队。</w:t>
            </w:r>
          </w:p>
        </w:tc>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c>
          <w:tcPr>
            <w:tcW w:w="426" w:type="dxa"/>
            <w:vMerge w:val="continue"/>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320" w:hRule="atLeast"/>
        </w:trPr>
        <w:tc>
          <w:tcPr>
            <w:tcW w:w="426" w:type="dxa"/>
            <w:vMerge w:val="restart"/>
            <w:tcBorders>
              <w:top w:val="nil"/>
              <w:left w:val="single" w:color="000000" w:sz="4" w:space="0"/>
              <w:right w:val="single" w:color="000000" w:sz="4" w:space="0"/>
            </w:tcBorders>
            <w:vAlign w:val="center"/>
          </w:tcPr>
          <w:p>
            <w:pPr>
              <w:spacing w:line="360" w:lineRule="atLeast"/>
              <w:jc w:val="righ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3</w:t>
            </w:r>
          </w:p>
        </w:tc>
        <w:tc>
          <w:tcPr>
            <w:tcW w:w="1134" w:type="dxa"/>
            <w:vMerge w:val="restart"/>
            <w:tcBorders>
              <w:top w:val="nil"/>
              <w:left w:val="nil"/>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技术得分</w:t>
            </w:r>
            <w:r>
              <w:rPr>
                <w:rStyle w:val="20"/>
                <w:rFonts w:hint="eastAsia" w:ascii="宋体" w:hAnsi="宋体" w:eastAsia="宋体" w:cs="宋体"/>
                <w:sz w:val="21"/>
                <w:szCs w:val="21"/>
                <w:lang w:val="en-US" w:eastAsia="zh-CN" w:bidi="ar-SA"/>
              </w:rPr>
              <w:br w:type="textWrapping" w:clear="all"/>
            </w:r>
            <w:r>
              <w:rPr>
                <w:rStyle w:val="20"/>
                <w:rFonts w:hint="eastAsia" w:ascii="宋体" w:hAnsi="宋体" w:eastAsia="宋体" w:cs="宋体"/>
                <w:sz w:val="21"/>
                <w:szCs w:val="21"/>
                <w:lang w:val="en-US" w:eastAsia="zh-CN" w:bidi="ar-SA"/>
              </w:rPr>
              <w:t>（0-50分）</w:t>
            </w:r>
          </w:p>
        </w:tc>
        <w:tc>
          <w:tcPr>
            <w:tcW w:w="1134"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color w:val="FF0000"/>
                <w:sz w:val="21"/>
                <w:szCs w:val="21"/>
                <w:lang w:val="en-US" w:eastAsia="zh-CN" w:bidi="ar-SA"/>
              </w:rPr>
            </w:pPr>
            <w:r>
              <w:rPr>
                <w:rStyle w:val="20"/>
                <w:rFonts w:hint="eastAsia" w:ascii="宋体" w:hAnsi="宋体" w:eastAsia="宋体" w:cs="宋体"/>
                <w:sz w:val="21"/>
                <w:szCs w:val="21"/>
                <w:lang w:val="en-US" w:eastAsia="zh-CN" w:bidi="ar-SA"/>
              </w:rPr>
              <w:t>技术指标（40分）</w:t>
            </w:r>
          </w:p>
        </w:tc>
        <w:tc>
          <w:tcPr>
            <w:tcW w:w="4923"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满足技术需求全部技术指标得满分，*代表最关键指标，不满足该指标项将导致投标被拒绝，#代表重要指标，不满足将导致扣3分，无标识则表示一般指标项，不满足扣1分，扣完为止。</w:t>
            </w:r>
          </w:p>
        </w:tc>
        <w:tc>
          <w:tcPr>
            <w:tcW w:w="426" w:type="dxa"/>
            <w:tcBorders>
              <w:top w:val="nil"/>
              <w:left w:val="nil"/>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FF"/>
                <w:sz w:val="21"/>
                <w:szCs w:val="21"/>
                <w:lang w:val="en-US" w:eastAsia="zh-CN" w:bidi="ar-SA"/>
              </w:rPr>
            </w:pPr>
          </w:p>
        </w:tc>
        <w:tc>
          <w:tcPr>
            <w:tcW w:w="426"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c>
          <w:tcPr>
            <w:tcW w:w="426"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320" w:hRule="atLeast"/>
        </w:trPr>
        <w:tc>
          <w:tcPr>
            <w:tcW w:w="426" w:type="dxa"/>
            <w:vMerge w:val="continue"/>
            <w:tcBorders>
              <w:left w:val="single" w:color="000000" w:sz="4" w:space="0"/>
              <w:right w:val="single" w:color="000000" w:sz="4" w:space="0"/>
            </w:tcBorders>
            <w:vAlign w:val="center"/>
          </w:tcPr>
          <w:p>
            <w:pPr>
              <w:spacing w:line="360" w:lineRule="atLeast"/>
              <w:jc w:val="right"/>
              <w:rPr>
                <w:rStyle w:val="20"/>
                <w:rFonts w:hint="eastAsia" w:ascii="宋体" w:hAnsi="宋体" w:eastAsia="宋体" w:cs="宋体"/>
                <w:sz w:val="21"/>
                <w:szCs w:val="21"/>
                <w:lang w:val="en-US" w:eastAsia="zh-CN" w:bidi="ar-SA"/>
              </w:rPr>
            </w:pPr>
          </w:p>
        </w:tc>
        <w:tc>
          <w:tcPr>
            <w:tcW w:w="1134" w:type="dxa"/>
            <w:vMerge w:val="continue"/>
            <w:tcBorders>
              <w:left w:val="nil"/>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1134"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实施方案（5分）</w:t>
            </w:r>
          </w:p>
        </w:tc>
        <w:tc>
          <w:tcPr>
            <w:tcW w:w="4923"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提供完整实施方案，要求：技术先进，易恢复，完整度高，可扩展性高，稳定性强。</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优：4-5分</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一般：2-3分</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差：0-1分</w:t>
            </w:r>
          </w:p>
        </w:tc>
        <w:tc>
          <w:tcPr>
            <w:tcW w:w="426" w:type="dxa"/>
            <w:tcBorders>
              <w:top w:val="nil"/>
              <w:left w:val="nil"/>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FF"/>
                <w:sz w:val="21"/>
                <w:szCs w:val="21"/>
                <w:lang w:val="en-US" w:eastAsia="zh-CN" w:bidi="ar-SA"/>
              </w:rPr>
            </w:pPr>
          </w:p>
        </w:tc>
        <w:tc>
          <w:tcPr>
            <w:tcW w:w="426"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c>
          <w:tcPr>
            <w:tcW w:w="426"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2748" w:hRule="atLeast"/>
        </w:trPr>
        <w:tc>
          <w:tcPr>
            <w:tcW w:w="426" w:type="dxa"/>
            <w:vMerge w:val="continue"/>
            <w:tcBorders>
              <w:left w:val="single" w:color="000000" w:sz="4" w:space="0"/>
              <w:right w:val="single" w:color="000000" w:sz="4" w:space="0"/>
            </w:tcBorders>
            <w:vAlign w:val="center"/>
          </w:tcPr>
          <w:p>
            <w:pPr>
              <w:spacing w:line="360" w:lineRule="atLeast"/>
              <w:jc w:val="right"/>
              <w:rPr>
                <w:rStyle w:val="20"/>
                <w:rFonts w:hint="eastAsia" w:ascii="宋体" w:hAnsi="宋体" w:eastAsia="宋体" w:cs="宋体"/>
                <w:sz w:val="21"/>
                <w:szCs w:val="21"/>
                <w:lang w:val="en-US" w:eastAsia="zh-CN" w:bidi="ar-SA"/>
              </w:rPr>
            </w:pPr>
          </w:p>
        </w:tc>
        <w:tc>
          <w:tcPr>
            <w:tcW w:w="1134" w:type="dxa"/>
            <w:vMerge w:val="continue"/>
            <w:tcBorders>
              <w:left w:val="nil"/>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1134"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人员团队（5分）</w:t>
            </w:r>
          </w:p>
        </w:tc>
        <w:tc>
          <w:tcPr>
            <w:tcW w:w="4923"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投标人有完整的研发团队（移动，前端后端，算法，产品，框架师，交互设计），优秀得2分，一般1分，差得0分。</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投标人有医学支持团队与临床信息化软件开发经验，优秀得2分，一般1分，差得0分。</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研发团队的人员经验丰富，研发过相关项目，高级职称，得1分。</w:t>
            </w:r>
          </w:p>
        </w:tc>
        <w:tc>
          <w:tcPr>
            <w:tcW w:w="426" w:type="dxa"/>
            <w:tcBorders>
              <w:top w:val="nil"/>
              <w:left w:val="nil"/>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FF"/>
                <w:sz w:val="21"/>
                <w:szCs w:val="21"/>
                <w:lang w:val="en-US" w:eastAsia="zh-CN" w:bidi="ar-SA"/>
              </w:rPr>
            </w:pPr>
          </w:p>
        </w:tc>
        <w:tc>
          <w:tcPr>
            <w:tcW w:w="426"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c>
          <w:tcPr>
            <w:tcW w:w="426"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320" w:hRule="atLeast"/>
        </w:trPr>
        <w:tc>
          <w:tcPr>
            <w:tcW w:w="426" w:type="dxa"/>
            <w:vMerge w:val="restart"/>
            <w:tcBorders>
              <w:top w:val="nil"/>
              <w:left w:val="single" w:color="000000" w:sz="4" w:space="0"/>
              <w:right w:val="single" w:color="000000" w:sz="4" w:space="0"/>
            </w:tcBorders>
            <w:vAlign w:val="center"/>
          </w:tcPr>
          <w:p>
            <w:pPr>
              <w:spacing w:line="360" w:lineRule="atLeast"/>
              <w:jc w:val="righ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4</w:t>
            </w:r>
          </w:p>
        </w:tc>
        <w:tc>
          <w:tcPr>
            <w:tcW w:w="1134" w:type="dxa"/>
            <w:vMerge w:val="restart"/>
            <w:tcBorders>
              <w:top w:val="nil"/>
              <w:left w:val="nil"/>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价格得分</w:t>
            </w:r>
            <w:r>
              <w:rPr>
                <w:rStyle w:val="20"/>
                <w:rFonts w:hint="eastAsia" w:ascii="宋体" w:hAnsi="宋体" w:eastAsia="宋体" w:cs="宋体"/>
                <w:sz w:val="21"/>
                <w:szCs w:val="21"/>
                <w:lang w:val="en-US" w:eastAsia="zh-CN" w:bidi="ar-SA"/>
              </w:rPr>
              <w:br w:type="textWrapping" w:clear="all"/>
            </w:r>
            <w:r>
              <w:rPr>
                <w:rStyle w:val="20"/>
                <w:rFonts w:hint="eastAsia" w:ascii="宋体" w:hAnsi="宋体" w:eastAsia="宋体" w:cs="宋体"/>
                <w:sz w:val="21"/>
                <w:szCs w:val="21"/>
                <w:lang w:val="en-US" w:eastAsia="zh-CN" w:bidi="ar-SA"/>
              </w:rPr>
              <w:t>（0-30分）</w:t>
            </w:r>
          </w:p>
        </w:tc>
        <w:tc>
          <w:tcPr>
            <w:tcW w:w="1134" w:type="dxa"/>
            <w:vMerge w:val="restart"/>
            <w:tcBorders>
              <w:top w:val="nil"/>
              <w:left w:val="nil"/>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价格得分（30分）</w:t>
            </w:r>
          </w:p>
        </w:tc>
        <w:tc>
          <w:tcPr>
            <w:tcW w:w="4923"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评标价格分数=（评标基准价/投标报价）×价格权重（30%）×100      </w:t>
            </w:r>
          </w:p>
        </w:tc>
        <w:tc>
          <w:tcPr>
            <w:tcW w:w="426" w:type="dxa"/>
            <w:vMerge w:val="restart"/>
            <w:tcBorders>
              <w:top w:val="nil"/>
              <w:left w:val="nil"/>
              <w:right w:val="single" w:color="000000" w:sz="4" w:space="0"/>
            </w:tcBorders>
            <w:vAlign w:val="center"/>
          </w:tcPr>
          <w:p>
            <w:pPr>
              <w:spacing w:line="360" w:lineRule="atLeast"/>
              <w:jc w:val="center"/>
              <w:rPr>
                <w:rStyle w:val="20"/>
                <w:rFonts w:hint="eastAsia" w:ascii="宋体" w:hAnsi="宋体" w:eastAsia="宋体" w:cs="宋体"/>
                <w:color w:val="0000FF"/>
                <w:sz w:val="21"/>
                <w:szCs w:val="21"/>
                <w:lang w:val="en-US" w:eastAsia="zh-CN" w:bidi="ar-SA"/>
              </w:rPr>
            </w:pPr>
          </w:p>
        </w:tc>
        <w:tc>
          <w:tcPr>
            <w:tcW w:w="426" w:type="dxa"/>
            <w:vMerge w:val="restart"/>
            <w:tcBorders>
              <w:top w:val="nil"/>
              <w:left w:val="nil"/>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c>
          <w:tcPr>
            <w:tcW w:w="426" w:type="dxa"/>
            <w:vMerge w:val="restart"/>
            <w:tcBorders>
              <w:top w:val="nil"/>
              <w:left w:val="nil"/>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320" w:hRule="atLeast"/>
        </w:trPr>
        <w:tc>
          <w:tcPr>
            <w:tcW w:w="426" w:type="dxa"/>
            <w:vMerge w:val="continue"/>
            <w:tcBorders>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1134" w:type="dxa"/>
            <w:vMerge w:val="continue"/>
            <w:tcBorders>
              <w:left w:val="nil"/>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1134" w:type="dxa"/>
            <w:vMerge w:val="continue"/>
            <w:tcBorders>
              <w:left w:val="nil"/>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4923"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备注：实质性响应招标文件要求且价格最低的投标报价为评标基准价  </w:t>
            </w:r>
          </w:p>
        </w:tc>
        <w:tc>
          <w:tcPr>
            <w:tcW w:w="426" w:type="dxa"/>
            <w:vMerge w:val="continue"/>
            <w:tcBorders>
              <w:left w:val="nil"/>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FF"/>
                <w:sz w:val="21"/>
                <w:szCs w:val="21"/>
                <w:lang w:val="en-US" w:eastAsia="zh-CN" w:bidi="ar-SA"/>
              </w:rPr>
            </w:pPr>
          </w:p>
        </w:tc>
        <w:tc>
          <w:tcPr>
            <w:tcW w:w="426" w:type="dxa"/>
            <w:vMerge w:val="continue"/>
            <w:tcBorders>
              <w:left w:val="nil"/>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c>
          <w:tcPr>
            <w:tcW w:w="426" w:type="dxa"/>
            <w:vMerge w:val="continue"/>
            <w:tcBorders>
              <w:left w:val="nil"/>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20" w:hRule="atLeast"/>
        </w:trPr>
        <w:tc>
          <w:tcPr>
            <w:tcW w:w="7617" w:type="dxa"/>
            <w:gridSpan w:val="4"/>
            <w:tcBorders>
              <w:top w:val="nil"/>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w:t>
            </w:r>
          </w:p>
          <w:p>
            <w:pPr>
              <w:spacing w:line="36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总分（0-100分）</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w:t>
            </w:r>
          </w:p>
        </w:tc>
        <w:tc>
          <w:tcPr>
            <w:tcW w:w="426" w:type="dxa"/>
            <w:tcBorders>
              <w:top w:val="nil"/>
              <w:left w:val="nil"/>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FF"/>
                <w:sz w:val="21"/>
                <w:szCs w:val="21"/>
                <w:lang w:val="en-US" w:eastAsia="zh-CN" w:bidi="ar-SA"/>
              </w:rPr>
            </w:pPr>
            <w:r>
              <w:rPr>
                <w:rStyle w:val="20"/>
                <w:rFonts w:hint="eastAsia" w:ascii="宋体" w:hAnsi="宋体" w:eastAsia="宋体" w:cs="宋体"/>
                <w:color w:val="0000FF"/>
                <w:sz w:val="21"/>
                <w:szCs w:val="21"/>
                <w:lang w:val="en-US" w:eastAsia="zh-CN" w:bidi="ar-SA"/>
              </w:rPr>
              <w:t>　</w:t>
            </w:r>
          </w:p>
        </w:tc>
        <w:tc>
          <w:tcPr>
            <w:tcW w:w="426"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r>
              <w:rPr>
                <w:rStyle w:val="20"/>
                <w:rFonts w:hint="eastAsia" w:ascii="宋体" w:hAnsi="宋体" w:eastAsia="宋体" w:cs="宋体"/>
                <w:color w:val="0000FF"/>
                <w:sz w:val="21"/>
                <w:szCs w:val="21"/>
                <w:lang w:val="en-US" w:eastAsia="zh-CN" w:bidi="ar-SA"/>
              </w:rPr>
              <w:t>　</w:t>
            </w:r>
          </w:p>
        </w:tc>
        <w:tc>
          <w:tcPr>
            <w:tcW w:w="426" w:type="dxa"/>
            <w:tcBorders>
              <w:top w:val="nil"/>
              <w:left w:val="nil"/>
              <w:bottom w:val="single" w:color="000000" w:sz="4" w:space="0"/>
              <w:right w:val="single" w:color="000000" w:sz="4" w:space="0"/>
            </w:tcBorders>
            <w:vAlign w:val="center"/>
          </w:tcPr>
          <w:p>
            <w:pPr>
              <w:spacing w:line="360" w:lineRule="atLeast"/>
              <w:rPr>
                <w:rStyle w:val="20"/>
                <w:rFonts w:hint="eastAsia" w:ascii="宋体" w:hAnsi="宋体" w:eastAsia="宋体" w:cs="宋体"/>
                <w:color w:val="0000FF"/>
                <w:sz w:val="21"/>
                <w:szCs w:val="21"/>
                <w:lang w:val="en-US" w:eastAsia="zh-CN" w:bidi="ar-SA"/>
              </w:rPr>
            </w:pPr>
            <w:r>
              <w:rPr>
                <w:rStyle w:val="20"/>
                <w:rFonts w:hint="eastAsia" w:ascii="宋体" w:hAnsi="宋体" w:eastAsia="宋体" w:cs="宋体"/>
                <w:color w:val="0000FF"/>
                <w:sz w:val="21"/>
                <w:szCs w:val="21"/>
                <w:lang w:val="en-US" w:eastAsia="zh-CN" w:bidi="ar-SA"/>
              </w:rPr>
              <w:t>　</w:t>
            </w:r>
          </w:p>
        </w:tc>
      </w:tr>
    </w:tbl>
    <w:p>
      <w:pPr>
        <w:spacing w:line="240" w:lineRule="atLeast"/>
        <w:ind w:left="422" w:leftChars="176"/>
        <w:rPr>
          <w:rStyle w:val="20"/>
          <w:rFonts w:hint="eastAsia" w:ascii="宋体" w:hAnsi="宋体" w:eastAsia="宋体" w:cs="宋体"/>
          <w:sz w:val="21"/>
          <w:szCs w:val="24"/>
          <w:lang w:val="en-US" w:eastAsia="zh-CN" w:bidi="ar-SA"/>
        </w:rPr>
      </w:pPr>
    </w:p>
    <w:p>
      <w:pPr>
        <w:pStyle w:val="12"/>
        <w:keepNext/>
        <w:keepLines/>
        <w:numPr>
          <w:ilvl w:val="1"/>
          <w:numId w:val="1"/>
        </w:numPr>
        <w:spacing w:before="0" w:after="156" w:line="240" w:lineRule="auto"/>
        <w:ind w:left="238" w:firstLine="0"/>
        <w:rPr>
          <w:rStyle w:val="20"/>
          <w:rFonts w:hint="eastAsia" w:ascii="宋体" w:hAnsi="宋体" w:eastAsia="宋体" w:cs="宋体"/>
          <w:b/>
          <w:bCs/>
          <w:sz w:val="24"/>
          <w:szCs w:val="24"/>
          <w:lang w:val="en-US" w:eastAsia="zh-CN" w:bidi="ar-SA"/>
        </w:rPr>
      </w:pPr>
      <w:r>
        <w:rPr>
          <w:rStyle w:val="20"/>
          <w:rFonts w:hint="eastAsia" w:ascii="宋体" w:hAnsi="宋体" w:eastAsia="宋体" w:cs="宋体"/>
          <w:b/>
          <w:bCs/>
          <w:sz w:val="24"/>
          <w:szCs w:val="24"/>
          <w:lang w:val="en-US" w:eastAsia="zh-CN" w:bidi="ar-SA"/>
        </w:rPr>
        <w:t>中标基本条件：</w:t>
      </w:r>
    </w:p>
    <w:p>
      <w:pPr>
        <w:numPr>
          <w:ilvl w:val="0"/>
          <w:numId w:val="23"/>
        </w:numPr>
        <w:tabs>
          <w:tab w:val="decimal" w:pos="840"/>
        </w:tabs>
        <w:spacing w:line="240" w:lineRule="auto"/>
        <w:ind w:left="840" w:hanging="36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投标文件完全响应招标文件中所有的实质性要求；</w:t>
      </w:r>
    </w:p>
    <w:p>
      <w:pPr>
        <w:numPr>
          <w:ilvl w:val="0"/>
          <w:numId w:val="23"/>
        </w:numPr>
        <w:tabs>
          <w:tab w:val="decimal" w:pos="840"/>
        </w:tabs>
        <w:spacing w:line="240" w:lineRule="auto"/>
        <w:ind w:left="840" w:hanging="36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投标价对采购人有利；</w:t>
      </w:r>
    </w:p>
    <w:p>
      <w:pPr>
        <w:numPr>
          <w:ilvl w:val="0"/>
          <w:numId w:val="23"/>
        </w:numPr>
        <w:tabs>
          <w:tab w:val="decimal" w:pos="840"/>
        </w:tabs>
        <w:spacing w:line="240" w:lineRule="auto"/>
        <w:ind w:left="840" w:hanging="36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有良好的执行合同能力和售后服务承诺。</w:t>
      </w:r>
    </w:p>
    <w:p>
      <w:pPr>
        <w:spacing w:line="240" w:lineRule="atLeast"/>
        <w:ind w:firstLine="480" w:firstLineChars="200"/>
        <w:rPr>
          <w:rStyle w:val="20"/>
          <w:rFonts w:hint="eastAsia" w:ascii="宋体" w:hAnsi="宋体" w:eastAsia="宋体" w:cs="宋体"/>
          <w:sz w:val="24"/>
          <w:lang w:val="en-US" w:eastAsia="zh-CN" w:bidi="ar-SA"/>
        </w:rPr>
        <w:sectPr>
          <w:pgSz w:w="11906" w:h="16838"/>
          <w:pgMar w:top="1418" w:right="1418" w:bottom="1418" w:left="1701" w:header="851" w:footer="851" w:gutter="0"/>
          <w:lnNumType w:countBy="0"/>
          <w:cols w:space="720" w:num="1"/>
          <w:vAlign w:val="top"/>
          <w:docGrid w:type="lines" w:linePitch="312" w:charSpace="0"/>
        </w:sectPr>
      </w:pPr>
    </w:p>
    <w:p>
      <w:pPr>
        <w:spacing w:line="240" w:lineRule="atLeast"/>
        <w:ind w:firstLine="1536" w:firstLineChars="640"/>
        <w:jc w:val="left"/>
        <w:rPr>
          <w:rStyle w:val="20"/>
          <w:rFonts w:hint="eastAsia" w:ascii="宋体" w:hAnsi="宋体" w:eastAsia="宋体" w:cs="宋体"/>
          <w:bCs/>
          <w:sz w:val="24"/>
          <w:lang w:val="en-US" w:eastAsia="zh-CN" w:bidi="ar-SA"/>
        </w:rPr>
      </w:pPr>
      <w:r>
        <w:rPr>
          <w:rStyle w:val="20"/>
          <w:rFonts w:hint="eastAsia" w:ascii="宋体" w:hAnsi="宋体" w:eastAsia="宋体" w:cs="宋体"/>
          <w:sz w:val="24"/>
          <w:lang w:val="en-US" w:eastAsia="zh-CN" w:bidi="ar-SA"/>
        </w:rPr>
        <w:t>第五部分  招标货物需求一览表及技术规格要求</w:t>
      </w:r>
    </w:p>
    <w:p>
      <w:pPr>
        <w:pStyle w:val="75"/>
        <w:widowControl/>
        <w:tabs>
          <w:tab w:val="left" w:pos="0"/>
        </w:tabs>
        <w:spacing w:before="0" w:after="0" w:line="240" w:lineRule="auto"/>
        <w:jc w:val="center"/>
        <w:rPr>
          <w:rStyle w:val="20"/>
          <w:rFonts w:hint="eastAsia" w:ascii="宋体" w:hAnsi="宋体" w:eastAsia="宋体" w:cs="宋体"/>
          <w:b/>
          <w:bCs/>
          <w:kern w:val="44"/>
          <w:sz w:val="28"/>
          <w:szCs w:val="20"/>
          <w:lang w:val="en-US" w:eastAsia="zh-CN" w:bidi="ar-SA"/>
        </w:rPr>
      </w:pPr>
      <w:r>
        <w:rPr>
          <w:rStyle w:val="20"/>
          <w:rFonts w:hint="eastAsia" w:ascii="宋体" w:hAnsi="宋体" w:eastAsia="宋体" w:cs="宋体"/>
          <w:kern w:val="44"/>
          <w:sz w:val="28"/>
          <w:szCs w:val="20"/>
          <w:lang w:val="en-US" w:eastAsia="zh-CN" w:bidi="ar-SA"/>
        </w:rPr>
        <w:t>第一</w:t>
      </w:r>
      <w:r>
        <w:rPr>
          <w:rStyle w:val="20"/>
          <w:rFonts w:hint="eastAsia" w:ascii="宋体" w:hAnsi="宋体" w:eastAsia="宋体" w:cs="宋体"/>
          <w:b/>
          <w:bCs/>
          <w:kern w:val="44"/>
          <w:sz w:val="28"/>
          <w:szCs w:val="20"/>
          <w:lang w:val="en-US" w:eastAsia="zh-CN" w:bidi="ar-SA"/>
        </w:rPr>
        <w:t xml:space="preserve">包 </w:t>
      </w:r>
      <w:r>
        <w:rPr>
          <w:rStyle w:val="20"/>
          <w:rFonts w:hint="eastAsia" w:ascii="宋体" w:hAnsi="宋体" w:eastAsia="宋体" w:cs="宋体"/>
          <w:b/>
          <w:bCs/>
          <w:kern w:val="44"/>
          <w:sz w:val="32"/>
          <w:szCs w:val="32"/>
          <w:lang w:val="en-US" w:eastAsia="zh-CN" w:bidi="ar-SA"/>
        </w:rPr>
        <w:t>科研信息管理平台</w:t>
      </w:r>
    </w:p>
    <w:p>
      <w:pPr>
        <w:pStyle w:val="75"/>
        <w:widowControl/>
        <w:tabs>
          <w:tab w:val="left" w:pos="0"/>
        </w:tabs>
        <w:spacing w:before="0" w:after="0" w:line="264" w:lineRule="auto"/>
        <w:jc w:val="left"/>
        <w:rPr>
          <w:rStyle w:val="20"/>
          <w:rFonts w:hint="eastAsia" w:ascii="宋体" w:hAnsi="宋体" w:eastAsia="宋体" w:cs="宋体"/>
          <w:b/>
          <w:kern w:val="44"/>
          <w:sz w:val="21"/>
          <w:szCs w:val="21"/>
          <w:lang w:val="en-US" w:eastAsia="zh-CN" w:bidi="ar-SA"/>
        </w:rPr>
      </w:pPr>
      <w:r>
        <w:rPr>
          <w:rStyle w:val="20"/>
          <w:rFonts w:hint="eastAsia" w:ascii="宋体" w:hAnsi="宋体" w:eastAsia="宋体" w:cs="宋体"/>
          <w:b/>
          <w:kern w:val="44"/>
          <w:sz w:val="24"/>
          <w:szCs w:val="24"/>
          <w:lang w:val="en-US" w:eastAsia="zh-CN" w:bidi="ar-SA"/>
        </w:rPr>
        <w:t>一、</w:t>
      </w:r>
      <w:r>
        <w:rPr>
          <w:rStyle w:val="20"/>
          <w:rFonts w:hint="eastAsia" w:ascii="宋体" w:hAnsi="宋体" w:eastAsia="宋体" w:cs="宋体"/>
          <w:b/>
          <w:kern w:val="44"/>
          <w:sz w:val="21"/>
          <w:szCs w:val="21"/>
          <w:lang w:val="en-US" w:eastAsia="zh-CN" w:bidi="ar-SA"/>
        </w:rPr>
        <w:t>货物需求一览表</w:t>
      </w:r>
    </w:p>
    <w:tbl>
      <w:tblPr>
        <w:tblStyle w:val="6"/>
        <w:tblW w:w="8538"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971"/>
        <w:gridCol w:w="2055"/>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序号</w:t>
            </w:r>
          </w:p>
        </w:tc>
        <w:tc>
          <w:tcPr>
            <w:tcW w:w="3971"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产品名称</w:t>
            </w:r>
          </w:p>
        </w:tc>
        <w:tc>
          <w:tcPr>
            <w:tcW w:w="205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数量</w:t>
            </w:r>
            <w:r>
              <w:rPr>
                <w:rStyle w:val="20"/>
                <w:rFonts w:hint="eastAsia" w:ascii="宋体" w:hAnsi="宋体" w:eastAsia="宋体" w:cs="宋体"/>
                <w:bCs/>
                <w:sz w:val="21"/>
                <w:szCs w:val="21"/>
                <w:lang w:val="en-US" w:eastAsia="zh-CN" w:bidi="ar-SA"/>
              </w:rPr>
              <w:t>（台/套）</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项目预算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w:t>
            </w:r>
          </w:p>
        </w:tc>
        <w:tc>
          <w:tcPr>
            <w:tcW w:w="3971"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科研信息管理平台</w:t>
            </w:r>
          </w:p>
        </w:tc>
        <w:tc>
          <w:tcPr>
            <w:tcW w:w="205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1套</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264"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79.88万元</w:t>
            </w:r>
          </w:p>
        </w:tc>
      </w:tr>
    </w:tbl>
    <w:p>
      <w:pPr>
        <w:spacing w:line="264" w:lineRule="auto"/>
        <w:jc w:val="both"/>
        <w:rPr>
          <w:rStyle w:val="20"/>
          <w:rFonts w:hint="eastAsia" w:ascii="宋体" w:hAnsi="宋体" w:eastAsia="宋体" w:cs="宋体"/>
          <w:sz w:val="21"/>
          <w:szCs w:val="21"/>
          <w:lang w:val="en-US" w:eastAsia="zh-CN" w:bidi="ar-SA"/>
        </w:rPr>
      </w:pPr>
    </w:p>
    <w:p>
      <w:pPr>
        <w:tabs>
          <w:tab w:val="left" w:leader="underscore" w:pos="0"/>
        </w:tabs>
        <w:spacing w:line="264" w:lineRule="auto"/>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二、技术规格要求：</w:t>
      </w:r>
    </w:p>
    <w:p>
      <w:pPr>
        <w:pStyle w:val="66"/>
        <w:numPr>
          <w:ilvl w:val="0"/>
          <w:numId w:val="24"/>
        </w:numPr>
        <w:spacing w:line="264" w:lineRule="auto"/>
        <w:ind w:left="360" w:firstLineChars="0"/>
        <w:jc w:val="both"/>
        <w:rPr>
          <w:rStyle w:val="20"/>
          <w:rFonts w:hint="eastAsia" w:ascii="宋体" w:hAnsi="宋体" w:eastAsia="宋体" w:cs="宋体"/>
          <w:b/>
          <w:kern w:val="2"/>
          <w:sz w:val="21"/>
          <w:szCs w:val="21"/>
          <w:lang w:val="en-US" w:eastAsia="zh-CN" w:bidi="ar-SA"/>
        </w:rPr>
      </w:pPr>
      <w:r>
        <w:rPr>
          <w:rStyle w:val="20"/>
          <w:rFonts w:hint="eastAsia" w:ascii="宋体" w:hAnsi="宋体" w:eastAsia="宋体" w:cs="宋体"/>
          <w:b/>
          <w:kern w:val="2"/>
          <w:sz w:val="21"/>
          <w:szCs w:val="21"/>
          <w:lang w:val="en-US" w:eastAsia="zh-CN" w:bidi="ar-SA"/>
        </w:rPr>
        <w:t>主要用途和要求：</w:t>
      </w:r>
    </w:p>
    <w:p>
      <w:pPr>
        <w:spacing w:line="264" w:lineRule="auto"/>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选购一套用于队列研究、大数据分析的综合科研管理系统，联结不同城市的人群随访和医院就诊系统，实现标准化信息采集及利用，提高整体研究质量，推进项目顺利实施。 </w:t>
      </w:r>
    </w:p>
    <w:p>
      <w:pPr>
        <w:spacing w:line="264" w:lineRule="auto"/>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本项目的特点在于周期较短，样本量较大，计划在3年完成10万目标队列人群的建立、随访及后期海量数据整理分析等，传统的数据管理方式研究质量难以保证，需借助先进的队列研究管理平台实现优质、高效的数据录入、管理，追踪等，确保任务在3年内完成，科研管理信息系统需实现大数据的采集、整理、分析，为项目的顺利进展提供了科学有效的技术保障，保证项目的高效实施。</w:t>
      </w:r>
    </w:p>
    <w:p>
      <w:pPr>
        <w:spacing w:line="264" w:lineRule="auto"/>
        <w:ind w:firstLine="424" w:firstLineChars="201"/>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1.1公司资质要求：</w:t>
      </w:r>
    </w:p>
    <w:p>
      <w:pPr>
        <w:spacing w:line="264" w:lineRule="auto"/>
        <w:ind w:firstLine="422" w:firstLineChars="20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#1.公司为国家高新技术企业或技术开发型企业。</w:t>
      </w:r>
    </w:p>
    <w:p>
      <w:pPr>
        <w:spacing w:line="264" w:lineRule="auto"/>
        <w:ind w:firstLine="422" w:firstLineChars="20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2.公司具有软件产品认证书和软件企业认证书。</w:t>
      </w:r>
    </w:p>
    <w:p>
      <w:pPr>
        <w:spacing w:line="264" w:lineRule="auto"/>
        <w:ind w:firstLine="422" w:firstLineChars="20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3.公司具有质量管理体系认证证书或软件著作证书。</w:t>
      </w:r>
    </w:p>
    <w:p>
      <w:pPr>
        <w:spacing w:line="264" w:lineRule="auto"/>
        <w:ind w:firstLine="424" w:firstLineChars="201"/>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1.2软件与研发能力要求：</w:t>
      </w:r>
    </w:p>
    <w:p>
      <w:pPr>
        <w:spacing w:line="264" w:lineRule="auto"/>
        <w:ind w:firstLine="422" w:firstLineChars="20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#1.公司具有软件著作权登记证书或产品自主知识产权证书不少于1份。</w:t>
      </w:r>
    </w:p>
    <w:p>
      <w:pPr>
        <w:spacing w:line="264" w:lineRule="auto"/>
        <w:ind w:firstLine="422" w:firstLineChars="20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*2.系统需公司自主研发，具有医疗或信息采集相关软件著作权，能有效证明其具备软件开发能力，并可根据用户需求进行个性化定制开发。</w:t>
      </w:r>
    </w:p>
    <w:p>
      <w:pPr>
        <w:spacing w:line="264" w:lineRule="auto"/>
        <w:ind w:firstLine="422" w:firstLineChars="20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3.负责项目的开发团人员不少于10人。</w:t>
      </w:r>
    </w:p>
    <w:p>
      <w:pPr>
        <w:spacing w:line="264" w:lineRule="auto"/>
        <w:ind w:firstLine="424" w:firstLineChars="201"/>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1.3售后运维要求：</w:t>
      </w:r>
    </w:p>
    <w:p>
      <w:pPr>
        <w:spacing w:line="264" w:lineRule="auto"/>
        <w:ind w:firstLine="422" w:firstLineChars="20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*1.系统运行后需提供7x24小时的运维响应服务，保证在任何时候都能及时找到工程师。</w:t>
      </w:r>
    </w:p>
    <w:p>
      <w:pPr>
        <w:spacing w:line="264" w:lineRule="auto"/>
        <w:ind w:firstLine="422" w:firstLineChars="20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#2.公司在北京有研发运维团队，保证4个小时内能提供现场运维维护。</w:t>
      </w:r>
    </w:p>
    <w:p>
      <w:pPr>
        <w:spacing w:line="264" w:lineRule="auto"/>
        <w:ind w:firstLine="422" w:firstLineChars="20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3.保修期内，凡属系统本身质量而引起的故障，公司不得收取任何费用。</w:t>
      </w:r>
    </w:p>
    <w:p>
      <w:pPr>
        <w:spacing w:line="264" w:lineRule="auto"/>
        <w:ind w:firstLine="422" w:firstLineChars="201"/>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4.保修期后，对本项目提供的产品提供终身有偿支持。</w:t>
      </w:r>
    </w:p>
    <w:p>
      <w:pPr>
        <w:spacing w:line="264" w:lineRule="auto"/>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2.工作条件：</w:t>
      </w:r>
    </w:p>
    <w:p>
      <w:pPr>
        <w:spacing w:line="264" w:lineRule="auto"/>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2.1工作温度(℃) </w:t>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常温</w:t>
      </w:r>
    </w:p>
    <w:p>
      <w:pPr>
        <w:spacing w:line="264" w:lineRule="auto"/>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2.2工作湿度</w:t>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正常</w:t>
      </w:r>
    </w:p>
    <w:p>
      <w:pPr>
        <w:spacing w:line="264" w:lineRule="auto"/>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3.主要技术指标：</w:t>
      </w:r>
    </w:p>
    <w:p>
      <w:pPr>
        <w:pStyle w:val="66"/>
        <w:numPr>
          <w:ilvl w:val="0"/>
          <w:numId w:val="25"/>
        </w:numPr>
        <w:spacing w:line="264" w:lineRule="auto"/>
        <w:ind w:left="425" w:firstLineChars="0"/>
        <w:jc w:val="left"/>
        <w:rPr>
          <w:rStyle w:val="20"/>
          <w:rFonts w:hint="eastAsia" w:ascii="宋体" w:hAnsi="宋体" w:eastAsia="宋体" w:cs="宋体"/>
          <w:vanish/>
          <w:kern w:val="0"/>
          <w:sz w:val="21"/>
          <w:szCs w:val="21"/>
          <w:lang w:val="en-US" w:eastAsia="zh-CN" w:bidi="ar-SA"/>
        </w:rPr>
      </w:pPr>
    </w:p>
    <w:p>
      <w:pPr>
        <w:pStyle w:val="66"/>
        <w:numPr>
          <w:ilvl w:val="0"/>
          <w:numId w:val="25"/>
        </w:numPr>
        <w:spacing w:line="264" w:lineRule="auto"/>
        <w:ind w:left="425" w:firstLineChars="0"/>
        <w:jc w:val="left"/>
        <w:rPr>
          <w:rStyle w:val="20"/>
          <w:rFonts w:hint="eastAsia" w:ascii="宋体" w:hAnsi="宋体" w:eastAsia="宋体" w:cs="宋体"/>
          <w:vanish/>
          <w:kern w:val="0"/>
          <w:sz w:val="21"/>
          <w:szCs w:val="21"/>
          <w:lang w:val="en-US" w:eastAsia="zh-CN" w:bidi="ar-SA"/>
        </w:rPr>
      </w:pPr>
    </w:p>
    <w:p>
      <w:pPr>
        <w:pStyle w:val="66"/>
        <w:numPr>
          <w:ilvl w:val="0"/>
          <w:numId w:val="25"/>
        </w:numPr>
        <w:spacing w:line="264" w:lineRule="auto"/>
        <w:ind w:left="425" w:firstLineChars="0"/>
        <w:jc w:val="left"/>
        <w:rPr>
          <w:rStyle w:val="20"/>
          <w:rFonts w:hint="eastAsia" w:ascii="宋体" w:hAnsi="宋体" w:eastAsia="宋体" w:cs="宋体"/>
          <w:vanish/>
          <w:kern w:val="0"/>
          <w:sz w:val="21"/>
          <w:szCs w:val="21"/>
          <w:lang w:val="en-US" w:eastAsia="zh-CN" w:bidi="ar-SA"/>
        </w:rPr>
      </w:pPr>
    </w:p>
    <w:p>
      <w:pPr>
        <w:numPr>
          <w:ilvl w:val="1"/>
          <w:numId w:val="25"/>
        </w:numPr>
        <w:spacing w:line="264" w:lineRule="auto"/>
        <w:ind w:left="992"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基本功能</w:t>
      </w:r>
    </w:p>
    <w:p>
      <w:pPr>
        <w:spacing w:line="264" w:lineRule="auto"/>
        <w:ind w:left="425" w:firstLine="210" w:firstLineChars="1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3.1.1 支持ICD10、HL7、DICOM等临床标准化格式数据交换。</w:t>
      </w:r>
    </w:p>
    <w:p>
      <w:pPr>
        <w:spacing w:line="264" w:lineRule="auto"/>
        <w:ind w:firstLine="480" w:firstLineChars="2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4"/>
          <w:lang w:val="en-US" w:eastAsia="zh-CN" w:bidi="ar-SA"/>
        </w:rPr>
        <w:t>*</w:t>
      </w:r>
      <w:r>
        <w:rPr>
          <w:rStyle w:val="20"/>
          <w:rFonts w:hint="eastAsia" w:ascii="宋体" w:hAnsi="宋体" w:eastAsia="宋体" w:cs="宋体"/>
          <w:color w:val="auto"/>
          <w:sz w:val="21"/>
          <w:szCs w:val="21"/>
          <w:lang w:val="en-US" w:eastAsia="zh-CN" w:bidi="ar-SA"/>
        </w:rPr>
        <w:t>3.1.2 支持多机构、多课题、多模板，快速构建模板。</w:t>
      </w:r>
    </w:p>
    <w:p>
      <w:pPr>
        <w:spacing w:line="264" w:lineRule="auto"/>
        <w:ind w:firstLine="525" w:firstLineChars="25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 xml:space="preserve"> 3.1.3 支持SQL SERVER、ORACLE、MYSQL等各种主流数据库进行数据存储。</w:t>
      </w:r>
    </w:p>
    <w:p>
      <w:pPr>
        <w:spacing w:line="264" w:lineRule="auto"/>
        <w:ind w:firstLine="630" w:firstLineChars="3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3.1.4 支持系统的账户、密码、权限设定管理、保证系统安全。</w:t>
      </w:r>
    </w:p>
    <w:p>
      <w:pPr>
        <w:spacing w:line="264" w:lineRule="auto"/>
        <w:ind w:firstLine="630" w:firstLineChars="3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3.1.5 支持多机构设定数据权限，确保数据安全性</w:t>
      </w:r>
    </w:p>
    <w:p>
      <w:pPr>
        <w:numPr>
          <w:ilvl w:val="1"/>
          <w:numId w:val="25"/>
        </w:numPr>
        <w:spacing w:line="264" w:lineRule="auto"/>
        <w:ind w:left="992"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科研问卷采集：</w:t>
      </w:r>
    </w:p>
    <w:p>
      <w:pPr>
        <w:spacing w:line="264" w:lineRule="auto"/>
        <w:ind w:firstLine="630" w:firstLineChars="3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3.2.1电子版知情同意书阅览，并实现电子签名。</w:t>
      </w:r>
    </w:p>
    <w:p>
      <w:pPr>
        <w:spacing w:line="264" w:lineRule="auto"/>
        <w:ind w:firstLine="630" w:firstLineChars="3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#3.2.2支持手机，PAD等移动端进行问卷采集</w:t>
      </w:r>
    </w:p>
    <w:p>
      <w:pPr>
        <w:spacing w:line="264" w:lineRule="auto"/>
        <w:ind w:firstLine="630" w:firstLineChars="3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3.2.3支持和电脑等终端问卷采集。</w:t>
      </w:r>
    </w:p>
    <w:p>
      <w:pPr>
        <w:spacing w:line="264" w:lineRule="auto"/>
        <w:ind w:firstLine="630" w:firstLineChars="3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3.2.4支持电子问卷填写指标的合理性检查。</w:t>
      </w:r>
    </w:p>
    <w:p>
      <w:pPr>
        <w:spacing w:line="264" w:lineRule="auto"/>
        <w:ind w:firstLine="630" w:firstLineChars="3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3.2.5支持电子问卷填写进度检查。</w:t>
      </w:r>
    </w:p>
    <w:p>
      <w:pPr>
        <w:spacing w:line="264" w:lineRule="auto"/>
        <w:ind w:firstLine="630" w:firstLineChars="3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3.2.6支持问卷数据实时保存至服务器。</w:t>
      </w:r>
    </w:p>
    <w:p>
      <w:pPr>
        <w:numPr>
          <w:ilvl w:val="1"/>
          <w:numId w:val="25"/>
        </w:numPr>
        <w:spacing w:line="264" w:lineRule="auto"/>
        <w:ind w:left="992"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临床数据采集：</w:t>
      </w:r>
    </w:p>
    <w:p>
      <w:pPr>
        <w:spacing w:line="264" w:lineRule="auto"/>
        <w:ind w:left="425" w:firstLine="210" w:firstLineChars="1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#3.3.1支持检查、检验数据的导入模板创建与管理，导入模板支持EXCEL、TXT格式。</w:t>
      </w:r>
    </w:p>
    <w:p>
      <w:pPr>
        <w:spacing w:line="264" w:lineRule="auto"/>
        <w:ind w:left="425" w:firstLine="210" w:firstLineChars="1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3.3.2支持检查、检验指标的批量模板化导入</w:t>
      </w:r>
    </w:p>
    <w:p>
      <w:pPr>
        <w:spacing w:line="264" w:lineRule="auto"/>
        <w:ind w:left="425" w:firstLine="210" w:firstLineChars="1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3.3.3 支持与第三方系统（HIS,PACS,LIS）对接，实现数据自动采集</w:t>
      </w:r>
    </w:p>
    <w:p>
      <w:pPr>
        <w:spacing w:line="264" w:lineRule="auto"/>
        <w:ind w:left="425" w:firstLine="210" w:firstLineChars="1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3.3.4 支持检查、检验设备对接，实现数据自动采集</w:t>
      </w:r>
    </w:p>
    <w:p>
      <w:pPr>
        <w:spacing w:line="264" w:lineRule="auto"/>
        <w:ind w:left="425" w:firstLine="210" w:firstLineChars="1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3.3.5 支持以PDF、JPG、TXT、EXCEL等多种格式的检查、检验数据的导入</w:t>
      </w:r>
    </w:p>
    <w:p>
      <w:pPr>
        <w:numPr>
          <w:ilvl w:val="1"/>
          <w:numId w:val="25"/>
        </w:numPr>
        <w:spacing w:line="264" w:lineRule="auto"/>
        <w:ind w:left="992"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样本管理</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支持各种血常规、尿常规等各种检验生物样本的登记，记录样本的采集信息、存储信息等</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 xml:space="preserve"> 样本数据与问卷数据关联，支持样本编号、问卷编号、存储信息、采集信息等综合信息检索查询。</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支持实时记录样本实验提取信息、库存信息，并可通过检索条件进行综合查询。</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各种样本数据，支持EXCEL格式文件进行批量导入登记</w:t>
      </w:r>
    </w:p>
    <w:p>
      <w:pPr>
        <w:numPr>
          <w:ilvl w:val="1"/>
          <w:numId w:val="25"/>
        </w:numPr>
        <w:spacing w:line="264" w:lineRule="auto"/>
        <w:ind w:left="992"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数据处理</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支持问卷以及临床数据的标准化存储。</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支持自定义指标模型进行调查者标记。</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支持通过问卷，检查检验等指标作为条件进行检索。</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支持问卷数据查看，检查检验指标查看。</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检查检验参考值范围查看。</w:t>
      </w:r>
    </w:p>
    <w:p>
      <w:pPr>
        <w:numPr>
          <w:ilvl w:val="1"/>
          <w:numId w:val="25"/>
        </w:numPr>
        <w:spacing w:line="264" w:lineRule="auto"/>
        <w:ind w:left="992"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数据分析</w:t>
      </w:r>
    </w:p>
    <w:p>
      <w:pPr>
        <w:spacing w:line="264" w:lineRule="auto"/>
        <w:ind w:left="425" w:firstLine="210" w:firstLineChars="1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#3.6.1支持对接SAS，SPSS，EXCEL等统计分析。</w:t>
      </w:r>
    </w:p>
    <w:p>
      <w:pPr>
        <w:spacing w:line="264" w:lineRule="auto"/>
        <w:ind w:left="425" w:firstLine="210" w:firstLineChars="1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3.6.2支持在线进行R语言统计分析。</w:t>
      </w:r>
    </w:p>
    <w:p>
      <w:pPr>
        <w:spacing w:line="264" w:lineRule="auto"/>
        <w:ind w:left="425" w:firstLine="210" w:firstLineChars="100"/>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3.6.3通过数据授权可以实现跨机构数据访问。</w:t>
      </w:r>
    </w:p>
    <w:p>
      <w:pPr>
        <w:numPr>
          <w:ilvl w:val="1"/>
          <w:numId w:val="25"/>
        </w:numPr>
        <w:spacing w:line="264" w:lineRule="auto"/>
        <w:ind w:left="992"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科研服务</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支持成果（名称，类型，作者，发表时间，关键词，摘要，附件等）发布。</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通过审核流程发布成果，审核失败退回发布人进行修改，审核成功之后发布完成。</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支持以PDF文件类型发表成果。</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课题动态维护功能，支持课题的动态的增删改查。</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支持通过富文本方式进行主要事件，会议，进展等信息进行发布。</w:t>
      </w:r>
    </w:p>
    <w:p>
      <w:pPr>
        <w:numPr>
          <w:ilvl w:val="1"/>
          <w:numId w:val="25"/>
        </w:numPr>
        <w:spacing w:line="264" w:lineRule="auto"/>
        <w:ind w:left="992"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系统环境架构</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采用面向对象、面向服务、三层架构系统开发框架，组件开发模式</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系统支持winxp、win7、win8、win10环境下运行</w:t>
      </w:r>
    </w:p>
    <w:p>
      <w:pPr>
        <w:numPr>
          <w:ilvl w:val="2"/>
          <w:numId w:val="25"/>
        </w:numPr>
        <w:spacing w:line="264" w:lineRule="auto"/>
        <w:ind w:left="1134" w:hanging="567"/>
        <w:rPr>
          <w:rStyle w:val="20"/>
          <w:rFonts w:hint="eastAsia" w:ascii="宋体" w:hAnsi="宋体" w:eastAsia="宋体" w:cs="宋体"/>
          <w:color w:val="auto"/>
          <w:sz w:val="21"/>
          <w:szCs w:val="21"/>
          <w:lang w:val="en-US" w:eastAsia="zh-CN" w:bidi="ar-SA"/>
        </w:rPr>
      </w:pPr>
      <w:r>
        <w:rPr>
          <w:rStyle w:val="20"/>
          <w:rFonts w:hint="eastAsia" w:ascii="宋体" w:hAnsi="宋体" w:eastAsia="宋体" w:cs="宋体"/>
          <w:color w:val="auto"/>
          <w:sz w:val="21"/>
          <w:szCs w:val="21"/>
          <w:lang w:val="en-US" w:eastAsia="zh-CN" w:bidi="ar-SA"/>
        </w:rPr>
        <w:t>数据接口采用HTTP/HTTPS、WEB SERVICES、SOAP、XML标准技术</w:t>
      </w:r>
    </w:p>
    <w:p>
      <w:pPr>
        <w:spacing w:line="264" w:lineRule="auto"/>
        <w:ind w:left="2980" w:hanging="2980"/>
        <w:rPr>
          <w:rStyle w:val="20"/>
          <w:rFonts w:hint="eastAsia" w:ascii="宋体" w:hAnsi="宋体" w:eastAsia="宋体" w:cs="宋体"/>
          <w:sz w:val="21"/>
          <w:szCs w:val="21"/>
          <w:lang w:val="en-US" w:eastAsia="zh-CN" w:bidi="ar-SA"/>
        </w:rPr>
      </w:pPr>
      <w:r>
        <w:rPr>
          <w:rStyle w:val="20"/>
          <w:rFonts w:hint="eastAsia" w:ascii="宋体" w:hAnsi="宋体" w:eastAsia="宋体" w:cs="宋体"/>
          <w:b/>
          <w:sz w:val="21"/>
          <w:szCs w:val="21"/>
          <w:lang w:val="en-US" w:eastAsia="zh-CN" w:bidi="ar-SA"/>
        </w:rPr>
        <w:t>4.质保期</w:t>
      </w:r>
    </w:p>
    <w:p>
      <w:pPr>
        <w:spacing w:line="264" w:lineRule="auto"/>
        <w:ind w:left="324" w:leftChars="135" w:firstLine="105" w:firstLineChars="5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4.1整套系统软件部分维护时间</w:t>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12个月。</w:t>
      </w:r>
    </w:p>
    <w:p>
      <w:pPr>
        <w:spacing w:line="264"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b/>
          <w:sz w:val="21"/>
          <w:szCs w:val="21"/>
          <w:lang w:val="en-US" w:eastAsia="zh-CN" w:bidi="ar-SA"/>
        </w:rPr>
        <w:t>5.安装要求</w:t>
      </w:r>
      <w:r>
        <w:rPr>
          <w:rStyle w:val="20"/>
          <w:rFonts w:hint="eastAsia" w:ascii="宋体" w:hAnsi="宋体" w:eastAsia="宋体" w:cs="宋体"/>
          <w:sz w:val="21"/>
          <w:szCs w:val="21"/>
          <w:lang w:val="en-US" w:eastAsia="zh-CN" w:bidi="ar-SA"/>
        </w:rPr>
        <w:t>：</w:t>
      </w:r>
    </w:p>
    <w:p>
      <w:pPr>
        <w:spacing w:line="264" w:lineRule="auto"/>
        <w:ind w:left="485" w:leftChars="202"/>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5.1中标人根据用户现有安装条件具体设计。</w:t>
      </w:r>
    </w:p>
    <w:p>
      <w:pPr>
        <w:spacing w:line="264"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b/>
          <w:sz w:val="21"/>
          <w:szCs w:val="21"/>
          <w:lang w:val="en-US" w:eastAsia="zh-CN" w:bidi="ar-SA"/>
        </w:rPr>
        <w:t>6.数量</w:t>
      </w:r>
      <w:r>
        <w:rPr>
          <w:rStyle w:val="20"/>
          <w:rFonts w:hint="eastAsia" w:ascii="宋体" w:hAnsi="宋体" w:eastAsia="宋体" w:cs="宋体"/>
          <w:b/>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 xml:space="preserve">       1套</w:t>
      </w:r>
    </w:p>
    <w:p>
      <w:pPr>
        <w:spacing w:line="264" w:lineRule="auto"/>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7.到货地点</w:t>
      </w:r>
      <w:r>
        <w:rPr>
          <w:rStyle w:val="20"/>
          <w:rFonts w:hint="eastAsia" w:ascii="宋体" w:hAnsi="宋体" w:eastAsia="宋体" w:cs="宋体"/>
          <w:b/>
          <w:sz w:val="21"/>
          <w:szCs w:val="21"/>
          <w:lang w:val="en-US" w:eastAsia="zh-CN" w:bidi="ar-SA"/>
        </w:rPr>
        <w:tab/>
      </w:r>
      <w:r>
        <w:rPr>
          <w:rStyle w:val="20"/>
          <w:rFonts w:hint="eastAsia" w:ascii="宋体" w:hAnsi="宋体" w:eastAsia="宋体" w:cs="宋体"/>
          <w:b/>
          <w:sz w:val="21"/>
          <w:szCs w:val="21"/>
          <w:lang w:val="en-US" w:eastAsia="zh-CN" w:bidi="ar-SA"/>
        </w:rPr>
        <w:t xml:space="preserve">   </w:t>
      </w:r>
      <w:r>
        <w:rPr>
          <w:rStyle w:val="20"/>
          <w:rFonts w:hint="eastAsia" w:ascii="宋体" w:hAnsi="宋体" w:eastAsia="宋体" w:cs="宋体"/>
          <w:sz w:val="21"/>
          <w:szCs w:val="21"/>
          <w:lang w:val="en-US" w:eastAsia="zh-CN" w:bidi="ar-SA"/>
        </w:rPr>
        <w:t>新公卫楼611室</w:t>
      </w:r>
    </w:p>
    <w:p>
      <w:pPr>
        <w:spacing w:line="264" w:lineRule="auto"/>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8.到货日期：</w:t>
      </w:r>
      <w:r>
        <w:rPr>
          <w:rStyle w:val="20"/>
          <w:rFonts w:hint="eastAsia" w:ascii="宋体" w:hAnsi="宋体" w:eastAsia="宋体" w:cs="宋体"/>
          <w:b/>
          <w:sz w:val="21"/>
          <w:szCs w:val="21"/>
          <w:lang w:val="en-US" w:eastAsia="zh-CN" w:bidi="ar-SA"/>
        </w:rPr>
        <w:tab/>
      </w:r>
      <w:r>
        <w:rPr>
          <w:rStyle w:val="20"/>
          <w:rFonts w:hint="eastAsia" w:ascii="宋体" w:hAnsi="宋体" w:eastAsia="宋体" w:cs="宋体"/>
          <w:b/>
          <w:sz w:val="21"/>
          <w:szCs w:val="21"/>
          <w:lang w:val="en-US" w:eastAsia="zh-CN" w:bidi="ar-SA"/>
        </w:rPr>
        <w:t xml:space="preserve">   </w:t>
      </w:r>
      <w:r>
        <w:rPr>
          <w:rStyle w:val="20"/>
          <w:rFonts w:hint="eastAsia" w:ascii="宋体" w:hAnsi="宋体" w:eastAsia="宋体" w:cs="宋体"/>
          <w:sz w:val="21"/>
          <w:szCs w:val="21"/>
          <w:lang w:val="en-US" w:eastAsia="zh-CN" w:bidi="ar-SA"/>
        </w:rPr>
        <w:t>合同签订后30天</w:t>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b/>
          <w:sz w:val="21"/>
          <w:szCs w:val="21"/>
          <w:lang w:val="en-US" w:eastAsia="zh-CN" w:bidi="ar-SA"/>
        </w:rPr>
        <w:tab/>
      </w:r>
    </w:p>
    <w:p>
      <w:pPr>
        <w:spacing w:line="264" w:lineRule="auto"/>
        <w:jc w:val="both"/>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9.所投产品需为现有成型产品，不得为特供机型，提供产品彩页。</w:t>
      </w:r>
    </w:p>
    <w:p>
      <w:pPr>
        <w:spacing w:line="288" w:lineRule="auto"/>
        <w:jc w:val="both"/>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三、部署实施</w:t>
      </w:r>
    </w:p>
    <w:p>
      <w:pPr>
        <w:spacing w:line="288" w:lineRule="auto"/>
        <w:jc w:val="both"/>
        <w:rPr>
          <w:rStyle w:val="20"/>
          <w:rFonts w:hint="eastAsia" w:ascii="宋体" w:hAnsi="宋体" w:eastAsia="宋体" w:cs="宋体"/>
          <w:bCs/>
          <w:sz w:val="21"/>
          <w:szCs w:val="21"/>
          <w:lang w:val="zh-CN" w:eastAsia="zh-CN" w:bidi="ar-SA"/>
        </w:rPr>
      </w:pPr>
      <w:r>
        <w:rPr>
          <w:rStyle w:val="20"/>
          <w:rFonts w:hint="eastAsia" w:ascii="宋体" w:hAnsi="宋体" w:eastAsia="宋体" w:cs="宋体"/>
          <w:bCs/>
          <w:sz w:val="21"/>
          <w:szCs w:val="21"/>
          <w:lang w:val="zh-CN" w:eastAsia="zh-CN" w:bidi="ar-SA"/>
        </w:rPr>
        <w:t>1.安装实施要求：</w:t>
      </w:r>
    </w:p>
    <w:p>
      <w:pPr>
        <w:spacing w:line="288" w:lineRule="auto"/>
        <w:jc w:val="both"/>
        <w:rPr>
          <w:rStyle w:val="20"/>
          <w:rFonts w:hint="eastAsia" w:ascii="宋体" w:hAnsi="宋体" w:eastAsia="宋体" w:cs="宋体"/>
          <w:bCs/>
          <w:sz w:val="21"/>
          <w:szCs w:val="21"/>
          <w:lang w:val="zh-CN" w:eastAsia="zh-CN" w:bidi="ar-SA"/>
        </w:rPr>
      </w:pPr>
      <w:r>
        <w:rPr>
          <w:rStyle w:val="20"/>
          <w:rFonts w:hint="eastAsia" w:ascii="宋体" w:hAnsi="宋体" w:eastAsia="宋体" w:cs="宋体"/>
          <w:bCs/>
          <w:sz w:val="21"/>
          <w:szCs w:val="21"/>
          <w:lang w:val="zh-CN" w:eastAsia="zh-CN" w:bidi="ar-SA"/>
        </w:rPr>
        <w:t>1.1投标方应本着认真负责态度，组织技术队伍，认真做好项目的实施工作。在签订合同前，提出具体实施、服务、维护以及今后技术支持的措施计划和承诺。</w:t>
      </w:r>
    </w:p>
    <w:p>
      <w:pPr>
        <w:spacing w:line="288" w:lineRule="auto"/>
        <w:jc w:val="both"/>
        <w:rPr>
          <w:rStyle w:val="20"/>
          <w:rFonts w:hint="eastAsia" w:ascii="宋体" w:hAnsi="宋体" w:eastAsia="宋体" w:cs="宋体"/>
          <w:bCs/>
          <w:sz w:val="21"/>
          <w:szCs w:val="21"/>
          <w:lang w:val="zh-CN" w:eastAsia="zh-CN" w:bidi="ar-SA"/>
        </w:rPr>
      </w:pPr>
      <w:r>
        <w:rPr>
          <w:rStyle w:val="20"/>
          <w:rFonts w:hint="eastAsia" w:ascii="宋体" w:hAnsi="宋体" w:eastAsia="宋体" w:cs="宋体"/>
          <w:bCs/>
          <w:sz w:val="21"/>
          <w:szCs w:val="21"/>
          <w:lang w:val="zh-CN" w:eastAsia="zh-CN" w:bidi="ar-SA"/>
        </w:rPr>
        <w:t>1.2 供方在质量保证期内，派送专业团队来实施。采购方有权根据实施情况要求更换项目经理和实施人员</w:t>
      </w:r>
    </w:p>
    <w:p>
      <w:pPr>
        <w:spacing w:line="288" w:lineRule="auto"/>
        <w:jc w:val="both"/>
        <w:rPr>
          <w:rStyle w:val="20"/>
          <w:rFonts w:hint="eastAsia" w:ascii="宋体" w:hAnsi="宋体" w:eastAsia="宋体" w:cs="宋体"/>
          <w:bCs/>
          <w:sz w:val="21"/>
          <w:szCs w:val="21"/>
          <w:lang w:val="en-US" w:eastAsia="zh-CN" w:bidi="ar-SA"/>
        </w:rPr>
      </w:pPr>
      <w:r>
        <w:rPr>
          <w:rStyle w:val="20"/>
          <w:rFonts w:hint="eastAsia" w:ascii="宋体" w:hAnsi="宋体" w:eastAsia="宋体" w:cs="宋体"/>
          <w:bCs/>
          <w:sz w:val="21"/>
          <w:szCs w:val="21"/>
          <w:lang w:val="en-US" w:eastAsia="zh-CN" w:bidi="ar-SA"/>
        </w:rPr>
        <w:t>1.3提供免费产品培训，培训内容为基本操作、方法建立及产品应用。</w:t>
      </w:r>
    </w:p>
    <w:p>
      <w:pPr>
        <w:spacing w:line="288" w:lineRule="auto"/>
        <w:jc w:val="both"/>
        <w:rPr>
          <w:rStyle w:val="20"/>
          <w:rFonts w:hint="eastAsia" w:ascii="宋体" w:hAnsi="宋体" w:eastAsia="宋体" w:cs="宋体"/>
          <w:bCs/>
          <w:sz w:val="21"/>
          <w:szCs w:val="21"/>
          <w:lang w:val="en-US" w:eastAsia="zh-CN" w:bidi="ar-SA"/>
        </w:rPr>
      </w:pPr>
      <w:r>
        <w:rPr>
          <w:rStyle w:val="20"/>
          <w:rFonts w:hint="eastAsia" w:ascii="宋体" w:hAnsi="宋体" w:eastAsia="宋体" w:cs="宋体"/>
          <w:bCs/>
          <w:sz w:val="21"/>
          <w:szCs w:val="21"/>
          <w:lang w:val="en-US" w:eastAsia="zh-CN" w:bidi="ar-SA"/>
        </w:rPr>
        <w:t>1.4投标方与招标方成立一个实施项目小组，各安排一名项目负责人，负责项目实施过程中的沟通协调。</w:t>
      </w:r>
    </w:p>
    <w:p>
      <w:pPr>
        <w:spacing w:line="288" w:lineRule="auto"/>
        <w:jc w:val="both"/>
        <w:rPr>
          <w:rStyle w:val="20"/>
          <w:rFonts w:hint="eastAsia" w:ascii="宋体" w:hAnsi="宋体" w:eastAsia="宋体" w:cs="宋体"/>
          <w:bCs/>
          <w:sz w:val="21"/>
          <w:szCs w:val="21"/>
          <w:lang w:val="zh-CN" w:eastAsia="zh-CN" w:bidi="ar-SA"/>
        </w:rPr>
      </w:pPr>
      <w:r>
        <w:rPr>
          <w:rStyle w:val="20"/>
          <w:rFonts w:hint="eastAsia" w:ascii="宋体" w:hAnsi="宋体" w:eastAsia="宋体" w:cs="宋体"/>
          <w:bCs/>
          <w:sz w:val="21"/>
          <w:szCs w:val="21"/>
          <w:lang w:val="zh-CN" w:eastAsia="zh-CN" w:bidi="ar-SA"/>
        </w:rPr>
        <w:t>1.5投标方要安排一支专业的实施团队，负责系统现场软、硬件的安装调试。</w:t>
      </w:r>
    </w:p>
    <w:p>
      <w:pPr>
        <w:spacing w:line="288" w:lineRule="auto"/>
        <w:jc w:val="both"/>
        <w:rPr>
          <w:rStyle w:val="20"/>
          <w:rFonts w:hint="eastAsia" w:ascii="宋体" w:hAnsi="宋体" w:eastAsia="宋体" w:cs="宋体"/>
          <w:bCs/>
          <w:sz w:val="21"/>
          <w:szCs w:val="21"/>
          <w:lang w:val="zh-CN" w:eastAsia="zh-CN" w:bidi="ar-SA"/>
        </w:rPr>
      </w:pPr>
      <w:r>
        <w:rPr>
          <w:rStyle w:val="20"/>
          <w:rFonts w:hint="eastAsia" w:ascii="宋体" w:hAnsi="宋体" w:eastAsia="宋体" w:cs="宋体"/>
          <w:bCs/>
          <w:sz w:val="21"/>
          <w:szCs w:val="21"/>
          <w:lang w:val="zh-CN" w:eastAsia="zh-CN" w:bidi="ar-SA"/>
        </w:rPr>
        <w:t>1.6投标方进场实施前，要提供完整的&lt;&lt;项目实施计划&gt;&gt;，保证项目顺利实施。</w:t>
      </w:r>
    </w:p>
    <w:p>
      <w:pPr>
        <w:spacing w:line="288" w:lineRule="auto"/>
        <w:jc w:val="both"/>
        <w:rPr>
          <w:rStyle w:val="20"/>
          <w:rFonts w:hint="eastAsia" w:ascii="宋体" w:hAnsi="宋体" w:eastAsia="宋体" w:cs="宋体"/>
          <w:bCs/>
          <w:sz w:val="21"/>
          <w:szCs w:val="21"/>
          <w:lang w:val="zh-CN" w:eastAsia="zh-CN" w:bidi="ar-SA"/>
        </w:rPr>
      </w:pPr>
      <w:r>
        <w:rPr>
          <w:rStyle w:val="20"/>
          <w:rFonts w:hint="eastAsia" w:ascii="宋体" w:hAnsi="宋体" w:eastAsia="宋体" w:cs="宋体"/>
          <w:bCs/>
          <w:sz w:val="21"/>
          <w:szCs w:val="21"/>
          <w:lang w:val="zh-CN" w:eastAsia="zh-CN" w:bidi="ar-SA"/>
        </w:rPr>
        <w:t>2.技术培训：</w:t>
      </w:r>
    </w:p>
    <w:p>
      <w:pPr>
        <w:spacing w:line="288" w:lineRule="auto"/>
        <w:jc w:val="both"/>
        <w:rPr>
          <w:rStyle w:val="20"/>
          <w:rFonts w:hint="eastAsia" w:ascii="宋体" w:hAnsi="宋体" w:eastAsia="宋体" w:cs="宋体"/>
          <w:bCs/>
          <w:sz w:val="21"/>
          <w:szCs w:val="21"/>
          <w:lang w:val="zh-CN" w:eastAsia="zh-CN" w:bidi="ar-SA"/>
        </w:rPr>
      </w:pPr>
      <w:r>
        <w:rPr>
          <w:rStyle w:val="20"/>
          <w:rFonts w:hint="eastAsia" w:ascii="宋体" w:hAnsi="宋体" w:eastAsia="宋体" w:cs="宋体"/>
          <w:bCs/>
          <w:sz w:val="21"/>
          <w:szCs w:val="21"/>
          <w:lang w:val="zh-CN" w:eastAsia="zh-CN" w:bidi="ar-SA"/>
        </w:rPr>
        <w:t>2.1安装调试之后，应用工程师将到用户现场进行现场培训。</w:t>
      </w:r>
    </w:p>
    <w:p>
      <w:pPr>
        <w:spacing w:line="288" w:lineRule="auto"/>
        <w:jc w:val="both"/>
        <w:rPr>
          <w:rStyle w:val="20"/>
          <w:rFonts w:hint="eastAsia" w:ascii="宋体" w:hAnsi="宋体" w:eastAsia="宋体" w:cs="宋体"/>
          <w:bCs/>
          <w:sz w:val="21"/>
          <w:szCs w:val="21"/>
          <w:lang w:val="en-US" w:eastAsia="zh-CN" w:bidi="ar-SA"/>
        </w:rPr>
      </w:pPr>
      <w:r>
        <w:rPr>
          <w:rStyle w:val="20"/>
          <w:rFonts w:hint="eastAsia" w:ascii="宋体" w:hAnsi="宋体" w:eastAsia="宋体" w:cs="宋体"/>
          <w:bCs/>
          <w:sz w:val="21"/>
          <w:szCs w:val="21"/>
          <w:lang w:val="zh-CN" w:eastAsia="zh-CN" w:bidi="ar-SA"/>
        </w:rPr>
        <w:t xml:space="preserve">  </w:t>
      </w:r>
      <w:r>
        <w:rPr>
          <w:rStyle w:val="20"/>
          <w:rFonts w:hint="eastAsia" w:ascii="宋体" w:hAnsi="宋体" w:eastAsia="宋体" w:cs="宋体"/>
          <w:bCs/>
          <w:sz w:val="21"/>
          <w:szCs w:val="21"/>
          <w:lang w:val="en-US" w:eastAsia="zh-CN" w:bidi="ar-SA"/>
        </w:rPr>
        <w:t>培训预期：1）相关的业务人员熟练掌握系统的操作，包括业务操作，常用的查询等</w:t>
      </w:r>
    </w:p>
    <w:p>
      <w:pPr>
        <w:spacing w:line="288" w:lineRule="auto"/>
        <w:jc w:val="both"/>
        <w:rPr>
          <w:rStyle w:val="20"/>
          <w:rFonts w:hint="eastAsia" w:ascii="宋体" w:hAnsi="宋体" w:eastAsia="宋体" w:cs="宋体"/>
          <w:bCs/>
          <w:sz w:val="21"/>
          <w:szCs w:val="21"/>
          <w:lang w:val="zh-CN" w:eastAsia="zh-CN" w:bidi="ar-SA"/>
        </w:rPr>
      </w:pPr>
      <w:r>
        <w:rPr>
          <w:rStyle w:val="20"/>
          <w:rFonts w:hint="eastAsia" w:ascii="宋体" w:hAnsi="宋体" w:eastAsia="宋体" w:cs="宋体"/>
          <w:bCs/>
          <w:sz w:val="21"/>
          <w:szCs w:val="21"/>
          <w:lang w:val="en-US" w:eastAsia="zh-CN" w:bidi="ar-SA"/>
        </w:rPr>
        <w:t xml:space="preserve">            2) 系统管理员能够对医院的数据库进行日常的数据维护、备份恢复，能够独立解决应用系统运行过程中出现的常见问题。</w:t>
      </w:r>
      <w:r>
        <w:rPr>
          <w:rStyle w:val="20"/>
          <w:rFonts w:hint="eastAsia" w:ascii="宋体" w:hAnsi="宋体" w:eastAsia="宋体" w:cs="宋体"/>
          <w:bCs/>
          <w:sz w:val="21"/>
          <w:szCs w:val="21"/>
          <w:lang w:val="zh-CN" w:eastAsia="zh-CN" w:bidi="ar-SA"/>
        </w:rPr>
        <w:t xml:space="preserve"> </w:t>
      </w:r>
    </w:p>
    <w:p>
      <w:pPr>
        <w:spacing w:line="288" w:lineRule="auto"/>
        <w:jc w:val="both"/>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四、</w:t>
      </w:r>
      <w:r>
        <w:rPr>
          <w:rStyle w:val="20"/>
          <w:rFonts w:hint="eastAsia" w:ascii="宋体" w:hAnsi="宋体" w:eastAsia="宋体" w:cs="宋体"/>
          <w:b/>
          <w:sz w:val="21"/>
          <w:szCs w:val="21"/>
          <w:lang w:val="zh-CN" w:eastAsia="zh-CN" w:bidi="ar-SA"/>
        </w:rPr>
        <w:t>售后要求</w:t>
      </w:r>
    </w:p>
    <w:p>
      <w:pPr>
        <w:spacing w:line="288" w:lineRule="auto"/>
        <w:jc w:val="both"/>
        <w:rPr>
          <w:rStyle w:val="20"/>
          <w:rFonts w:hint="eastAsia" w:ascii="宋体" w:hAnsi="宋体" w:eastAsia="宋体" w:cs="宋体"/>
          <w:bCs/>
          <w:sz w:val="21"/>
          <w:szCs w:val="21"/>
          <w:lang w:val="en-US" w:eastAsia="zh-CN" w:bidi="ar-SA"/>
        </w:rPr>
      </w:pPr>
      <w:r>
        <w:rPr>
          <w:rStyle w:val="20"/>
          <w:rFonts w:hint="eastAsia" w:ascii="宋体" w:hAnsi="宋体" w:eastAsia="宋体" w:cs="宋体"/>
          <w:bCs/>
          <w:sz w:val="21"/>
          <w:szCs w:val="21"/>
          <w:lang w:val="en-US" w:eastAsia="zh-CN" w:bidi="ar-SA"/>
        </w:rPr>
        <w:t>1.1产品的质保期不低于3年；</w:t>
      </w:r>
    </w:p>
    <w:p>
      <w:pPr>
        <w:spacing w:line="288" w:lineRule="auto"/>
        <w:jc w:val="both"/>
        <w:rPr>
          <w:rStyle w:val="20"/>
          <w:rFonts w:hint="eastAsia" w:ascii="宋体" w:hAnsi="宋体" w:eastAsia="宋体" w:cs="宋体"/>
          <w:bCs/>
          <w:sz w:val="21"/>
          <w:szCs w:val="21"/>
          <w:lang w:val="en-US" w:eastAsia="zh-CN" w:bidi="ar-SA"/>
        </w:rPr>
      </w:pPr>
      <w:r>
        <w:rPr>
          <w:rStyle w:val="20"/>
          <w:rFonts w:hint="eastAsia" w:ascii="宋体" w:hAnsi="宋体" w:eastAsia="宋体" w:cs="宋体"/>
          <w:bCs/>
          <w:sz w:val="21"/>
          <w:szCs w:val="21"/>
          <w:lang w:val="en-US" w:eastAsia="zh-CN" w:bidi="ar-SA"/>
        </w:rPr>
        <w:t xml:space="preserve">1.2产品保修期从验收合格证书签署之日起开始计算，质保期不低于3年,提供1年免费保修期。 </w:t>
      </w:r>
    </w:p>
    <w:p>
      <w:pPr>
        <w:spacing w:line="288" w:lineRule="auto"/>
        <w:jc w:val="both"/>
        <w:rPr>
          <w:rStyle w:val="20"/>
          <w:rFonts w:hint="eastAsia" w:ascii="宋体" w:hAnsi="宋体" w:eastAsia="宋体" w:cs="宋体"/>
          <w:bCs/>
          <w:sz w:val="21"/>
          <w:szCs w:val="21"/>
          <w:lang w:val="en-US" w:eastAsia="zh-CN" w:bidi="ar-SA"/>
        </w:rPr>
      </w:pPr>
      <w:r>
        <w:rPr>
          <w:rStyle w:val="20"/>
          <w:rFonts w:hint="eastAsia" w:ascii="宋体" w:hAnsi="宋体" w:eastAsia="宋体" w:cs="宋体"/>
          <w:bCs/>
          <w:sz w:val="21"/>
          <w:szCs w:val="21"/>
          <w:lang w:val="en-US" w:eastAsia="zh-CN" w:bidi="ar-SA"/>
        </w:rPr>
        <w:t xml:space="preserve">1.3投标方需提供 7*24 小时技术支持。 </w:t>
      </w:r>
    </w:p>
    <w:p>
      <w:pPr>
        <w:spacing w:line="288" w:lineRule="auto"/>
        <w:jc w:val="both"/>
        <w:rPr>
          <w:rStyle w:val="20"/>
          <w:rFonts w:hint="eastAsia" w:ascii="宋体" w:hAnsi="宋体" w:eastAsia="宋体" w:cs="宋体"/>
          <w:bCs/>
          <w:sz w:val="21"/>
          <w:szCs w:val="21"/>
          <w:lang w:val="en-US" w:eastAsia="zh-CN" w:bidi="ar-SA"/>
        </w:rPr>
      </w:pPr>
      <w:r>
        <w:rPr>
          <w:rStyle w:val="20"/>
          <w:rFonts w:hint="eastAsia" w:ascii="宋体" w:hAnsi="宋体" w:eastAsia="宋体" w:cs="宋体"/>
          <w:bCs/>
          <w:sz w:val="21"/>
          <w:szCs w:val="21"/>
          <w:lang w:val="en-US" w:eastAsia="zh-CN" w:bidi="ar-SA"/>
        </w:rPr>
        <w:t xml:space="preserve">1.4提供高效的本地化服务，当系统出现故障后应可以在 30 分钟内提供远程技术支持，故障严重的情况下 4 小时内到达现场解决问题。 </w:t>
      </w:r>
    </w:p>
    <w:p>
      <w:pPr>
        <w:spacing w:line="288" w:lineRule="auto"/>
        <w:jc w:val="both"/>
        <w:rPr>
          <w:rStyle w:val="20"/>
          <w:rFonts w:hint="eastAsia" w:ascii="宋体" w:hAnsi="宋体" w:eastAsia="宋体" w:cs="宋体"/>
          <w:bCs/>
          <w:sz w:val="21"/>
          <w:szCs w:val="21"/>
          <w:lang w:val="en-US" w:eastAsia="zh-CN" w:bidi="ar-SA"/>
        </w:rPr>
      </w:pPr>
      <w:r>
        <w:rPr>
          <w:rStyle w:val="20"/>
          <w:rFonts w:hint="eastAsia" w:ascii="宋体" w:hAnsi="宋体" w:eastAsia="宋体" w:cs="宋体"/>
          <w:bCs/>
          <w:sz w:val="21"/>
          <w:szCs w:val="21"/>
          <w:lang w:val="en-US" w:eastAsia="zh-CN" w:bidi="ar-SA"/>
        </w:rPr>
        <w:t xml:space="preserve">1.5需指定专门的售后服务工程师负责本项目的售后服务工作 ,及时检查并处理问题，并负责新进人员的培训工作。 </w:t>
      </w:r>
    </w:p>
    <w:p>
      <w:pPr>
        <w:spacing w:line="288" w:lineRule="auto"/>
        <w:jc w:val="both"/>
        <w:rPr>
          <w:rStyle w:val="20"/>
          <w:rFonts w:hint="eastAsia" w:ascii="宋体" w:hAnsi="宋体" w:eastAsia="宋体" w:cs="宋体"/>
          <w:bCs/>
          <w:sz w:val="21"/>
          <w:szCs w:val="21"/>
          <w:lang w:val="zh-CN" w:eastAsia="zh-CN" w:bidi="ar-SA"/>
        </w:rPr>
      </w:pPr>
      <w:r>
        <w:rPr>
          <w:rStyle w:val="20"/>
          <w:rFonts w:hint="eastAsia" w:ascii="宋体" w:hAnsi="宋体" w:eastAsia="宋体" w:cs="宋体"/>
          <w:bCs/>
          <w:sz w:val="21"/>
          <w:szCs w:val="21"/>
          <w:lang w:val="en-US" w:eastAsia="zh-CN" w:bidi="ar-SA"/>
        </w:rPr>
        <w:t>1.6如在使用过程中发现由于软件错误导致的故障，供方必须无偿修改</w:t>
      </w:r>
    </w:p>
    <w:p>
      <w:pPr>
        <w:spacing w:line="288" w:lineRule="auto"/>
        <w:jc w:val="both"/>
        <w:rPr>
          <w:rStyle w:val="20"/>
          <w:rFonts w:hint="eastAsia" w:ascii="宋体" w:hAnsi="宋体" w:eastAsia="宋体" w:cs="宋体"/>
          <w:bCs/>
          <w:sz w:val="21"/>
          <w:szCs w:val="21"/>
          <w:lang w:val="zh-CN" w:eastAsia="zh-CN" w:bidi="ar-SA"/>
        </w:rPr>
      </w:pPr>
      <w:r>
        <w:rPr>
          <w:rStyle w:val="20"/>
          <w:rFonts w:hint="eastAsia" w:ascii="宋体" w:hAnsi="宋体" w:eastAsia="宋体" w:cs="宋体"/>
          <w:bCs/>
          <w:sz w:val="21"/>
          <w:szCs w:val="21"/>
          <w:lang w:val="en-US" w:eastAsia="zh-CN" w:bidi="ar-SA"/>
        </w:rPr>
        <w:t>1.7保修期内，提供免费的应用软件更新，在系统和设备优化、扩容及软件更新和升级时，免费派技术人员到场指导。</w:t>
      </w:r>
    </w:p>
    <w:p>
      <w:pPr>
        <w:spacing w:line="288" w:lineRule="auto"/>
        <w:jc w:val="both"/>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五、验收标准</w:t>
      </w:r>
    </w:p>
    <w:p>
      <w:pPr>
        <w:spacing w:line="288" w:lineRule="auto"/>
        <w:jc w:val="both"/>
        <w:rPr>
          <w:rStyle w:val="20"/>
          <w:rFonts w:hint="eastAsia" w:ascii="宋体" w:hAnsi="宋体" w:eastAsia="宋体" w:cs="宋体"/>
          <w:bCs/>
          <w:sz w:val="21"/>
          <w:szCs w:val="21"/>
          <w:lang w:val="en-US" w:eastAsia="zh-CN" w:bidi="ar-SA"/>
        </w:rPr>
      </w:pPr>
      <w:r>
        <w:rPr>
          <w:rStyle w:val="20"/>
          <w:rFonts w:hint="eastAsia" w:ascii="宋体" w:hAnsi="宋体" w:eastAsia="宋体" w:cs="宋体"/>
          <w:bCs/>
          <w:sz w:val="21"/>
          <w:szCs w:val="21"/>
          <w:lang w:val="en-US" w:eastAsia="zh-CN" w:bidi="ar-SA"/>
        </w:rPr>
        <w:t xml:space="preserve">1 按技术指标（以#号指标为重点验收指标）和验收流程进行验收。 </w:t>
      </w:r>
    </w:p>
    <w:p>
      <w:pPr>
        <w:spacing w:line="288" w:lineRule="auto"/>
        <w:jc w:val="both"/>
        <w:rPr>
          <w:rStyle w:val="20"/>
          <w:rFonts w:hint="eastAsia" w:ascii="宋体" w:hAnsi="宋体" w:eastAsia="宋体" w:cs="宋体"/>
          <w:bCs/>
          <w:sz w:val="21"/>
          <w:szCs w:val="21"/>
          <w:lang w:val="en-US" w:eastAsia="zh-CN" w:bidi="ar-SA"/>
        </w:rPr>
      </w:pPr>
      <w:r>
        <w:rPr>
          <w:rStyle w:val="20"/>
          <w:rFonts w:hint="eastAsia" w:ascii="宋体" w:hAnsi="宋体" w:eastAsia="宋体" w:cs="宋体"/>
          <w:bCs/>
          <w:sz w:val="21"/>
          <w:szCs w:val="21"/>
          <w:lang w:val="en-US" w:eastAsia="zh-CN" w:bidi="ar-SA"/>
        </w:rPr>
        <w:t>2 投标方应负责在项目验收时将系统的全部有关技术文件、资料、及安装、测试、验收报告等文档汇集成册交付采购方。</w:t>
      </w:r>
    </w:p>
    <w:p>
      <w:pPr>
        <w:spacing w:line="240" w:lineRule="auto"/>
        <w:jc w:val="center"/>
        <w:rPr>
          <w:rStyle w:val="20"/>
          <w:rFonts w:hint="eastAsia" w:ascii="宋体" w:hAnsi="宋体" w:eastAsia="宋体" w:cs="宋体"/>
          <w:b/>
          <w:bCs/>
          <w:sz w:val="24"/>
          <w:lang w:val="en-US" w:eastAsia="zh-CN" w:bidi="ar-SA"/>
        </w:rPr>
      </w:pPr>
    </w:p>
    <w:p>
      <w:pPr>
        <w:spacing w:line="240" w:lineRule="auto"/>
        <w:jc w:val="center"/>
        <w:rPr>
          <w:rStyle w:val="20"/>
          <w:rFonts w:hint="eastAsia" w:ascii="宋体" w:hAnsi="宋体" w:eastAsia="宋体" w:cs="宋体"/>
          <w:b/>
          <w:bCs/>
          <w:sz w:val="21"/>
          <w:szCs w:val="21"/>
          <w:lang w:val="en-US" w:eastAsia="zh-CN" w:bidi="ar-SA"/>
        </w:rPr>
      </w:pPr>
      <w:r>
        <w:rPr>
          <w:rStyle w:val="20"/>
          <w:rFonts w:hint="eastAsia" w:ascii="宋体" w:hAnsi="宋体" w:eastAsia="宋体" w:cs="宋体"/>
          <w:b/>
          <w:bCs/>
          <w:sz w:val="24"/>
          <w:lang w:val="en-US" w:eastAsia="zh-CN" w:bidi="ar-SA"/>
        </w:rPr>
        <w:t>第六部分  合同主要条款</w:t>
      </w:r>
    </w:p>
    <w:p>
      <w:pPr>
        <w:spacing w:line="240" w:lineRule="auto"/>
        <w:rPr>
          <w:rStyle w:val="20"/>
          <w:rFonts w:hint="eastAsia" w:ascii="宋体" w:hAnsi="宋体" w:eastAsia="宋体" w:cs="宋体"/>
          <w:b/>
          <w:bCs/>
          <w:sz w:val="28"/>
          <w:szCs w:val="28"/>
          <w:lang w:val="en-US" w:eastAsia="zh-CN" w:bidi="ar-SA"/>
        </w:rPr>
      </w:pPr>
      <w:r>
        <w:rPr>
          <w:rStyle w:val="20"/>
          <w:rFonts w:hint="eastAsia" w:ascii="宋体" w:hAnsi="宋体" w:eastAsia="宋体" w:cs="宋体"/>
          <w:b/>
          <w:bCs/>
          <w:sz w:val="28"/>
          <w:szCs w:val="28"/>
          <w:lang w:val="en-US" w:eastAsia="zh-CN" w:bidi="ar-SA"/>
        </w:rPr>
        <w:t>（二）国内合同签订注意事项</w:t>
      </w:r>
    </w:p>
    <w:p>
      <w:pPr>
        <w:spacing w:line="240" w:lineRule="auto"/>
        <w:rPr>
          <w:rStyle w:val="20"/>
          <w:rFonts w:hint="eastAsia" w:ascii="宋体" w:hAnsi="宋体" w:eastAsia="宋体" w:cs="宋体"/>
          <w:sz w:val="21"/>
          <w:szCs w:val="21"/>
          <w:lang w:val="en-US" w:eastAsia="zh-CN" w:bidi="ar-SA"/>
        </w:rPr>
      </w:pPr>
    </w:p>
    <w:p>
      <w:pPr>
        <w:snapToGrid w:val="0"/>
        <w:spacing w:line="360" w:lineRule="atLeast"/>
        <w:jc w:val="center"/>
        <w:rPr>
          <w:rStyle w:val="20"/>
          <w:rFonts w:hint="eastAsia" w:ascii="宋体" w:hAnsi="宋体" w:eastAsia="宋体" w:cs="宋体"/>
          <w:b/>
          <w:sz w:val="30"/>
          <w:szCs w:val="30"/>
          <w:lang w:val="en-US" w:eastAsia="zh-CN" w:bidi="ar-SA"/>
        </w:rPr>
      </w:pPr>
      <w:r>
        <w:rPr>
          <w:rStyle w:val="20"/>
          <w:rFonts w:hint="eastAsia" w:ascii="宋体" w:hAnsi="宋体" w:eastAsia="宋体" w:cs="宋体"/>
          <w:b/>
          <w:sz w:val="30"/>
          <w:szCs w:val="30"/>
          <w:lang w:val="en-US" w:eastAsia="zh-CN" w:bidi="ar-SA"/>
        </w:rPr>
        <w:t>北京大学医学部国内设备采购合同</w:t>
      </w:r>
    </w:p>
    <w:p>
      <w:pPr>
        <w:spacing w:line="360" w:lineRule="atLeast"/>
        <w:rPr>
          <w:rStyle w:val="20"/>
          <w:rFonts w:hint="eastAsia" w:ascii="宋体" w:hAnsi="宋体" w:eastAsia="宋体" w:cs="宋体"/>
          <w:b/>
          <w:sz w:val="21"/>
          <w:szCs w:val="21"/>
          <w:lang w:val="en-US" w:eastAsia="zh-CN" w:bidi="ar-SA"/>
        </w:rPr>
      </w:pPr>
    </w:p>
    <w:p>
      <w:pPr>
        <w:spacing w:line="360" w:lineRule="atLeast"/>
        <w:rPr>
          <w:rStyle w:val="20"/>
          <w:rFonts w:hint="eastAsia" w:ascii="宋体" w:hAnsi="宋体" w:eastAsia="宋体" w:cs="宋体"/>
          <w:b/>
          <w:sz w:val="21"/>
          <w:szCs w:val="21"/>
          <w:u w:val="single"/>
          <w:lang w:val="en-US" w:eastAsia="zh-CN" w:bidi="ar-SA"/>
        </w:rPr>
      </w:pPr>
      <w:r>
        <w:rPr>
          <w:rStyle w:val="20"/>
          <w:rFonts w:hint="eastAsia" w:ascii="宋体" w:hAnsi="宋体" w:eastAsia="宋体" w:cs="宋体"/>
          <w:b/>
          <w:sz w:val="21"/>
          <w:szCs w:val="21"/>
          <w:lang w:val="en-US" w:eastAsia="zh-CN" w:bidi="ar-SA"/>
        </w:rPr>
        <w:t>供方：</w:t>
      </w:r>
      <w:r>
        <w:rPr>
          <w:rStyle w:val="20"/>
          <w:rFonts w:hint="eastAsia" w:ascii="宋体" w:hAnsi="宋体" w:eastAsia="宋体" w:cs="宋体"/>
          <w:b/>
          <w:sz w:val="21"/>
          <w:szCs w:val="21"/>
          <w:u w:val="single"/>
          <w:lang w:val="en-US" w:eastAsia="zh-CN" w:bidi="ar-SA"/>
        </w:rPr>
        <w:t xml:space="preserve">                              </w:t>
      </w:r>
    </w:p>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需方：</w:t>
      </w:r>
      <w:r>
        <w:rPr>
          <w:rStyle w:val="20"/>
          <w:rFonts w:hint="eastAsia" w:ascii="宋体" w:hAnsi="宋体" w:eastAsia="宋体" w:cs="宋体"/>
          <w:b/>
          <w:sz w:val="21"/>
          <w:szCs w:val="21"/>
          <w:u w:val="single"/>
          <w:lang w:val="en-US" w:eastAsia="zh-CN" w:bidi="ar-SA"/>
        </w:rPr>
        <w:t xml:space="preserve"> 北京大学医学部 </w:t>
      </w:r>
      <w:r>
        <w:rPr>
          <w:rStyle w:val="20"/>
          <w:rFonts w:hint="eastAsia" w:ascii="宋体" w:hAnsi="宋体" w:eastAsia="宋体" w:cs="宋体"/>
          <w:b/>
          <w:sz w:val="21"/>
          <w:szCs w:val="21"/>
          <w:lang w:val="en-US" w:eastAsia="zh-CN" w:bidi="ar-SA"/>
        </w:rPr>
        <w:t xml:space="preserve"> </w:t>
      </w:r>
    </w:p>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使用单位</w:t>
      </w:r>
      <w:r>
        <w:rPr>
          <w:rStyle w:val="20"/>
          <w:rFonts w:hint="eastAsia" w:ascii="宋体" w:hAnsi="宋体" w:eastAsia="宋体" w:cs="宋体"/>
          <w:b/>
          <w:sz w:val="21"/>
          <w:szCs w:val="21"/>
          <w:u w:val="single"/>
          <w:lang w:val="en-US" w:eastAsia="zh-CN" w:bidi="ar-SA"/>
        </w:rPr>
        <w:t xml:space="preserve">                              </w:t>
      </w:r>
    </w:p>
    <w:p>
      <w:pPr>
        <w:spacing w:line="360" w:lineRule="atLeast"/>
        <w:rPr>
          <w:rStyle w:val="20"/>
          <w:rFonts w:hint="eastAsia" w:ascii="宋体" w:hAnsi="宋体" w:eastAsia="宋体" w:cs="宋体"/>
          <w:b/>
          <w:sz w:val="21"/>
          <w:szCs w:val="21"/>
          <w:u w:val="single"/>
          <w:lang w:val="en-US" w:eastAsia="zh-CN" w:bidi="ar-SA"/>
        </w:rPr>
      </w:pPr>
      <w:r>
        <w:rPr>
          <w:rStyle w:val="20"/>
          <w:rFonts w:hint="eastAsia" w:ascii="宋体" w:hAnsi="宋体" w:eastAsia="宋体" w:cs="宋体"/>
          <w:b/>
          <w:sz w:val="21"/>
          <w:szCs w:val="21"/>
          <w:lang w:val="en-US" w:eastAsia="zh-CN" w:bidi="ar-SA"/>
        </w:rPr>
        <w:t>供方合同编号：</w:t>
      </w:r>
      <w:r>
        <w:rPr>
          <w:rStyle w:val="20"/>
          <w:rFonts w:hint="eastAsia" w:ascii="宋体" w:hAnsi="宋体" w:eastAsia="宋体" w:cs="宋体"/>
          <w:b/>
          <w:sz w:val="21"/>
          <w:szCs w:val="21"/>
          <w:u w:val="single"/>
          <w:lang w:val="en-US" w:eastAsia="zh-CN" w:bidi="ar-SA"/>
        </w:rPr>
        <w:t xml:space="preserve">                          </w:t>
      </w:r>
    </w:p>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需方合同编号：</w:t>
      </w:r>
      <w:r>
        <w:rPr>
          <w:rStyle w:val="20"/>
          <w:rFonts w:hint="eastAsia" w:ascii="宋体" w:hAnsi="宋体" w:eastAsia="宋体" w:cs="宋体"/>
          <w:b/>
          <w:sz w:val="21"/>
          <w:szCs w:val="21"/>
          <w:u w:val="single"/>
          <w:lang w:val="en-US" w:eastAsia="zh-CN" w:bidi="ar-SA"/>
        </w:rPr>
        <w:t xml:space="preserve">                     </w:t>
      </w:r>
    </w:p>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签约地点：</w:t>
      </w:r>
      <w:r>
        <w:rPr>
          <w:rStyle w:val="20"/>
          <w:rFonts w:hint="eastAsia" w:ascii="宋体" w:hAnsi="宋体" w:eastAsia="宋体" w:cs="宋体"/>
          <w:b/>
          <w:sz w:val="21"/>
          <w:szCs w:val="21"/>
          <w:u w:val="single"/>
          <w:lang w:val="en-US" w:eastAsia="zh-CN" w:bidi="ar-SA"/>
        </w:rPr>
        <w:t xml:space="preserve">北京大学医学部  </w:t>
      </w:r>
    </w:p>
    <w:p>
      <w:pPr>
        <w:spacing w:line="360" w:lineRule="atLeast"/>
        <w:rPr>
          <w:rStyle w:val="20"/>
          <w:rFonts w:hint="eastAsia" w:ascii="宋体" w:hAnsi="宋体" w:eastAsia="宋体" w:cs="宋体"/>
          <w:sz w:val="21"/>
          <w:szCs w:val="21"/>
          <w:lang w:val="en-US" w:eastAsia="zh-CN" w:bidi="ar-SA"/>
        </w:rPr>
      </w:pP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供需双方本着平等互惠的原则，通过友好协商，就需方购买供方产品事宜达成如下条款。</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b/>
          <w:sz w:val="21"/>
          <w:szCs w:val="21"/>
          <w:lang w:val="en-US" w:eastAsia="zh-CN" w:bidi="ar-SA"/>
        </w:rPr>
        <w:t>一、产品清单：</w:t>
      </w:r>
      <w:r>
        <w:rPr>
          <w:rStyle w:val="20"/>
          <w:rFonts w:hint="eastAsia" w:ascii="宋体" w:hAnsi="宋体" w:eastAsia="宋体" w:cs="宋体"/>
          <w:sz w:val="21"/>
          <w:szCs w:val="21"/>
          <w:lang w:val="en-US" w:eastAsia="zh-CN" w:bidi="ar-SA"/>
        </w:rPr>
        <w:t xml:space="preserve"> </w:t>
      </w:r>
    </w:p>
    <w:tbl>
      <w:tblPr>
        <w:tblStyle w:val="6"/>
        <w:tblW w:w="900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2813"/>
        <w:gridCol w:w="645"/>
        <w:gridCol w:w="646"/>
        <w:gridCol w:w="646"/>
        <w:gridCol w:w="646"/>
        <w:gridCol w:w="743"/>
        <w:gridCol w:w="743"/>
        <w:gridCol w:w="847"/>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序号</w:t>
            </w:r>
          </w:p>
        </w:tc>
        <w:tc>
          <w:tcPr>
            <w:tcW w:w="2813"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产品名称</w:t>
            </w:r>
          </w:p>
        </w:tc>
        <w:tc>
          <w:tcPr>
            <w:tcW w:w="645"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规格及型号</w:t>
            </w:r>
          </w:p>
        </w:tc>
        <w:tc>
          <w:tcPr>
            <w:tcW w:w="646"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产地</w:t>
            </w:r>
          </w:p>
        </w:tc>
        <w:tc>
          <w:tcPr>
            <w:tcW w:w="646"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生产厂家</w:t>
            </w:r>
          </w:p>
        </w:tc>
        <w:tc>
          <w:tcPr>
            <w:tcW w:w="646"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品牌</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单位</w:t>
            </w: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数量</w:t>
            </w: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单价（元）</w:t>
            </w: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w:t>
            </w:r>
          </w:p>
        </w:tc>
        <w:tc>
          <w:tcPr>
            <w:tcW w:w="2813" w:type="dxa"/>
            <w:tcBorders>
              <w:top w:val="single" w:color="000000" w:sz="4" w:space="0"/>
              <w:left w:val="single" w:color="000000" w:sz="4" w:space="0"/>
              <w:bottom w:val="single" w:color="000000" w:sz="4" w:space="0"/>
              <w:right w:val="single" w:color="000000" w:sz="4" w:space="0"/>
            </w:tcBorders>
            <w:vAlign w:val="center"/>
          </w:tcPr>
          <w:p>
            <w:pPr>
              <w:spacing w:line="360" w:lineRule="atLeast"/>
              <w:rPr>
                <w:rStyle w:val="20"/>
                <w:rFonts w:hint="eastAsia" w:ascii="宋体" w:hAnsi="宋体" w:eastAsia="宋体" w:cs="宋体"/>
                <w:sz w:val="21"/>
                <w:szCs w:val="21"/>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743"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2</w:t>
            </w:r>
          </w:p>
        </w:tc>
        <w:tc>
          <w:tcPr>
            <w:tcW w:w="2813"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743"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7"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3</w:t>
            </w:r>
          </w:p>
        </w:tc>
        <w:tc>
          <w:tcPr>
            <w:tcW w:w="2813"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743"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7"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4</w:t>
            </w:r>
          </w:p>
        </w:tc>
        <w:tc>
          <w:tcPr>
            <w:tcW w:w="2813"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743"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7"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5</w:t>
            </w:r>
          </w:p>
        </w:tc>
        <w:tc>
          <w:tcPr>
            <w:tcW w:w="2813"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743"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p>
        </w:tc>
        <w:tc>
          <w:tcPr>
            <w:tcW w:w="743"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9003" w:type="dxa"/>
            <w:gridSpan w:val="10"/>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成交总价(大写):</w:t>
            </w:r>
            <w:r>
              <w:rPr>
                <w:rStyle w:val="20"/>
                <w:rFonts w:hint="eastAsia" w:ascii="宋体" w:hAnsi="宋体" w:eastAsia="宋体" w:cs="宋体"/>
                <w:sz w:val="21"/>
                <w:szCs w:val="21"/>
                <w:u w:val="single"/>
                <w:lang w:val="en-US" w:eastAsia="zh-CN" w:bidi="ar-SA"/>
              </w:rPr>
              <w:t xml:space="preserve"> </w:t>
            </w:r>
            <w:r>
              <w:rPr>
                <w:rStyle w:val="20"/>
                <w:rFonts w:hint="eastAsia" w:ascii="宋体" w:hAnsi="宋体" w:eastAsia="宋体" w:cs="宋体"/>
                <w:b/>
                <w:sz w:val="21"/>
                <w:szCs w:val="21"/>
                <w:u w:val="single"/>
                <w:lang w:val="en-US" w:eastAsia="zh-CN" w:bidi="ar-SA"/>
              </w:rPr>
              <w:t>柒拾玖万捌仟捌佰元整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9003" w:type="dxa"/>
            <w:gridSpan w:val="10"/>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设备配置清单：（见附页），共  页，以最终用户签字、盖章认可配置为准。</w:t>
            </w:r>
          </w:p>
        </w:tc>
      </w:tr>
    </w:tbl>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二、价款及支付方式：</w:t>
      </w:r>
    </w:p>
    <w:p>
      <w:pPr>
        <w:spacing w:line="360" w:lineRule="atLeast"/>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1.本合同的总金额为：</w:t>
      </w:r>
      <w:r>
        <w:rPr>
          <w:rStyle w:val="20"/>
          <w:rFonts w:hint="eastAsia" w:ascii="宋体" w:hAnsi="宋体" w:eastAsia="宋体" w:cs="宋体"/>
          <w:sz w:val="21"/>
          <w:szCs w:val="21"/>
          <w:u w:val="single"/>
          <w:lang w:val="en-US" w:eastAsia="zh-CN" w:bidi="ar-SA"/>
        </w:rPr>
        <w:t xml:space="preserve">    798800元整    </w:t>
      </w:r>
      <w:r>
        <w:rPr>
          <w:rStyle w:val="20"/>
          <w:rFonts w:hint="eastAsia" w:ascii="宋体" w:hAnsi="宋体" w:eastAsia="宋体" w:cs="宋体"/>
          <w:sz w:val="21"/>
          <w:szCs w:val="21"/>
          <w:lang w:val="en-US" w:eastAsia="zh-CN" w:bidi="ar-SA"/>
        </w:rPr>
        <w:t>大写：</w:t>
      </w:r>
      <w:r>
        <w:rPr>
          <w:rStyle w:val="20"/>
          <w:rFonts w:hint="eastAsia" w:ascii="宋体" w:hAnsi="宋体" w:eastAsia="宋体" w:cs="宋体"/>
          <w:sz w:val="21"/>
          <w:szCs w:val="21"/>
          <w:u w:val="single"/>
          <w:lang w:val="en-US" w:eastAsia="zh-CN" w:bidi="ar-SA"/>
        </w:rPr>
        <w:t xml:space="preserve"> 人民币  柒拾玖万捌仟捌佰元整。</w:t>
      </w:r>
    </w:p>
    <w:p>
      <w:pPr>
        <w:spacing w:line="360" w:lineRule="atLeast"/>
        <w:ind w:firstLine="420" w:firstLineChars="200"/>
        <w:rPr>
          <w:rStyle w:val="20"/>
          <w:rFonts w:hint="eastAsia" w:ascii="宋体" w:hAnsi="宋体" w:eastAsia="宋体" w:cs="宋体"/>
          <w:color w:val="000000"/>
          <w:sz w:val="21"/>
          <w:szCs w:val="21"/>
          <w:lang w:val="en-US" w:eastAsia="zh-CN" w:bidi="ar-SA"/>
        </w:rPr>
      </w:pPr>
      <w:r>
        <w:rPr>
          <w:rStyle w:val="20"/>
          <w:rFonts w:hint="eastAsia" w:ascii="宋体" w:hAnsi="宋体" w:eastAsia="宋体" w:cs="宋体"/>
          <w:sz w:val="21"/>
          <w:szCs w:val="21"/>
          <w:lang w:val="en-US" w:eastAsia="zh-CN" w:bidi="ar-SA"/>
        </w:rPr>
        <w:t>2.付款方式：请选择</w:t>
      </w:r>
      <w:r>
        <w:rPr>
          <w:rStyle w:val="20"/>
          <w:rFonts w:hint="eastAsia" w:ascii="宋体" w:hAnsi="宋体" w:eastAsia="宋体" w:cs="宋体"/>
          <w:color w:val="000000"/>
          <w:sz w:val="21"/>
          <w:szCs w:val="21"/>
          <w:lang w:bidi="ar-SA"/>
        </w:rPr>
        <w:t>①</w:t>
      </w:r>
      <w:r>
        <w:rPr>
          <w:rStyle w:val="20"/>
          <w:rFonts w:hint="eastAsia" w:ascii="宋体" w:hAnsi="宋体" w:eastAsia="宋体" w:cs="宋体"/>
          <w:color w:val="000000"/>
          <w:sz w:val="21"/>
          <w:szCs w:val="21"/>
          <w:lang w:val="en-US" w:eastAsia="zh-CN" w:bidi="ar-SA"/>
        </w:rPr>
        <w:t>全部货物验收合格以后，供方开具100%发票，需方收到发票后五个工作日日支付全部货款；</w:t>
      </w:r>
    </w:p>
    <w:p>
      <w:pPr>
        <w:spacing w:line="360" w:lineRule="atLeast"/>
        <w:ind w:firstLine="420" w:firstLineChars="200"/>
        <w:rPr>
          <w:rStyle w:val="20"/>
          <w:rFonts w:hint="eastAsia" w:ascii="宋体" w:hAnsi="宋体" w:eastAsia="宋体" w:cs="宋体"/>
          <w:color w:val="FF0000"/>
          <w:sz w:val="21"/>
          <w:szCs w:val="21"/>
          <w:u w:val="single"/>
          <w:lang w:val="en-US" w:eastAsia="zh-CN" w:bidi="ar-SA"/>
        </w:rPr>
      </w:pPr>
      <w:r>
        <w:rPr>
          <w:rStyle w:val="20"/>
          <w:rFonts w:hint="eastAsia" w:ascii="宋体" w:hAnsi="宋体" w:eastAsia="宋体" w:cs="宋体"/>
          <w:color w:val="000000"/>
          <w:sz w:val="21"/>
          <w:szCs w:val="21"/>
          <w:lang w:val="en-US" w:eastAsia="zh-CN" w:bidi="ar-SA"/>
        </w:rPr>
        <w:t>或②合同签订后供方开具70%发票，需方收到发票后五个工作日内支付70%货款；全部产品验收合格后，供方开具30%发票，需方收到发票后五个工作日内支付30%尾款。</w:t>
      </w:r>
    </w:p>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三、产品的交付：</w:t>
      </w:r>
    </w:p>
    <w:p>
      <w:pPr>
        <w:spacing w:line="360" w:lineRule="atLeast"/>
        <w:ind w:firstLine="420" w:firstLineChars="200"/>
        <w:rPr>
          <w:rStyle w:val="20"/>
          <w:rFonts w:hint="eastAsia" w:ascii="宋体" w:hAnsi="宋体" w:eastAsia="宋体" w:cs="宋体"/>
          <w:sz w:val="21"/>
          <w:szCs w:val="21"/>
          <w:u w:val="single"/>
          <w:lang w:val="en-US" w:eastAsia="zh-CN" w:bidi="ar-SA"/>
        </w:rPr>
      </w:pPr>
      <w:r>
        <w:rPr>
          <w:rStyle w:val="20"/>
          <w:rFonts w:hint="eastAsia" w:ascii="宋体" w:hAnsi="宋体" w:eastAsia="宋体" w:cs="宋体"/>
          <w:sz w:val="21"/>
          <w:szCs w:val="21"/>
          <w:lang w:val="en-US" w:eastAsia="zh-CN" w:bidi="ar-SA"/>
        </w:rPr>
        <w:t>1.交付方式：</w:t>
      </w:r>
      <w:r>
        <w:rPr>
          <w:rStyle w:val="20"/>
          <w:rFonts w:hint="eastAsia" w:ascii="宋体" w:hAnsi="宋体" w:eastAsia="宋体" w:cs="宋体"/>
          <w:sz w:val="21"/>
          <w:szCs w:val="21"/>
          <w:u w:val="single"/>
          <w:lang w:val="en-US" w:eastAsia="zh-CN" w:bidi="ar-SA"/>
        </w:rPr>
        <w:t xml:space="preserve"> 现场实施。 </w:t>
      </w:r>
    </w:p>
    <w:p>
      <w:pPr>
        <w:spacing w:line="360" w:lineRule="atLeast"/>
        <w:ind w:firstLine="420" w:firstLineChars="200"/>
        <w:rPr>
          <w:rStyle w:val="20"/>
          <w:rFonts w:hint="eastAsia" w:ascii="宋体" w:hAnsi="宋体" w:eastAsia="宋体" w:cs="宋体"/>
          <w:sz w:val="21"/>
          <w:szCs w:val="21"/>
          <w:u w:val="single"/>
          <w:lang w:val="en-US" w:eastAsia="zh-CN" w:bidi="ar-SA"/>
        </w:rPr>
      </w:pPr>
      <w:r>
        <w:rPr>
          <w:rStyle w:val="20"/>
          <w:rFonts w:hint="eastAsia" w:ascii="宋体" w:hAnsi="宋体" w:eastAsia="宋体" w:cs="宋体"/>
          <w:sz w:val="21"/>
          <w:szCs w:val="21"/>
          <w:lang w:val="en-US" w:eastAsia="zh-CN" w:bidi="ar-SA"/>
        </w:rPr>
        <w:t>2.交付时间：</w:t>
      </w:r>
      <w:r>
        <w:rPr>
          <w:rStyle w:val="20"/>
          <w:rFonts w:hint="eastAsia" w:ascii="宋体" w:hAnsi="宋体" w:eastAsia="宋体" w:cs="宋体"/>
          <w:sz w:val="21"/>
          <w:szCs w:val="21"/>
          <w:u w:val="single"/>
          <w:lang w:val="en-US" w:eastAsia="zh-CN" w:bidi="ar-SA"/>
        </w:rPr>
        <w:t xml:space="preserve"> 收到首付款后 90 日内。</w:t>
      </w:r>
    </w:p>
    <w:p>
      <w:pPr>
        <w:spacing w:line="360" w:lineRule="atLeast"/>
        <w:ind w:firstLine="420" w:firstLineChars="200"/>
        <w:rPr>
          <w:rStyle w:val="20"/>
          <w:rFonts w:hint="eastAsia" w:ascii="宋体" w:hAnsi="宋体" w:eastAsia="宋体" w:cs="宋体"/>
          <w:sz w:val="21"/>
          <w:szCs w:val="21"/>
          <w:u w:val="single"/>
          <w:lang w:val="en-US" w:eastAsia="zh-CN" w:bidi="ar-SA"/>
        </w:rPr>
      </w:pPr>
      <w:r>
        <w:rPr>
          <w:rStyle w:val="20"/>
          <w:rFonts w:hint="eastAsia" w:ascii="宋体" w:hAnsi="宋体" w:eastAsia="宋体" w:cs="宋体"/>
          <w:sz w:val="21"/>
          <w:szCs w:val="21"/>
          <w:lang w:val="en-US" w:eastAsia="zh-CN" w:bidi="ar-SA"/>
        </w:rPr>
        <w:t>3.交付地点：</w:t>
      </w:r>
      <w:r>
        <w:rPr>
          <w:rStyle w:val="20"/>
          <w:rFonts w:hint="eastAsia" w:ascii="宋体" w:hAnsi="宋体" w:eastAsia="宋体" w:cs="宋体"/>
          <w:sz w:val="21"/>
          <w:szCs w:val="21"/>
          <w:u w:val="single"/>
          <w:lang w:val="en-US" w:eastAsia="zh-CN" w:bidi="ar-SA"/>
        </w:rPr>
        <w:t xml:space="preserve"> 需方指定地点。</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b/>
          <w:sz w:val="21"/>
          <w:szCs w:val="21"/>
          <w:lang w:val="en-US" w:eastAsia="zh-CN" w:bidi="ar-SA"/>
        </w:rPr>
        <w:t>四、产品的包装和运输：</w:t>
      </w:r>
      <w:r>
        <w:rPr>
          <w:rStyle w:val="20"/>
          <w:rFonts w:hint="eastAsia" w:ascii="宋体" w:hAnsi="宋体" w:eastAsia="宋体" w:cs="宋体"/>
          <w:sz w:val="21"/>
          <w:szCs w:val="21"/>
          <w:u w:val="single"/>
          <w:lang w:val="en-US" w:eastAsia="zh-CN" w:bidi="ar-SA"/>
        </w:rPr>
        <w:t>供方承担全部相关费用，免费负责安装培训。</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b/>
          <w:sz w:val="21"/>
          <w:szCs w:val="21"/>
          <w:lang w:val="en-US" w:eastAsia="zh-CN" w:bidi="ar-SA"/>
        </w:rPr>
        <w:t>五、验收标准、方式：</w:t>
      </w:r>
      <w:r>
        <w:rPr>
          <w:rStyle w:val="20"/>
          <w:rFonts w:hint="eastAsia" w:ascii="宋体" w:hAnsi="宋体" w:eastAsia="宋体" w:cs="宋体"/>
          <w:color w:val="000000"/>
          <w:sz w:val="21"/>
          <w:szCs w:val="21"/>
          <w:u w:val="single"/>
          <w:lang w:val="en-US" w:eastAsia="zh-CN" w:bidi="ar-SA"/>
        </w:rPr>
        <w:t>功能覆盖和正常运行是标准，供需双方负责人共同现场验收签字</w:t>
      </w:r>
    </w:p>
    <w:p>
      <w:pPr>
        <w:spacing w:line="360" w:lineRule="atLeast"/>
        <w:rPr>
          <w:rStyle w:val="20"/>
          <w:rFonts w:hint="eastAsia" w:ascii="宋体" w:hAnsi="宋体" w:eastAsia="宋体" w:cs="宋体"/>
          <w:color w:val="000000"/>
          <w:sz w:val="21"/>
          <w:szCs w:val="21"/>
          <w:u w:val="single"/>
          <w:lang w:val="en-US" w:eastAsia="zh-CN" w:bidi="ar-SA"/>
        </w:rPr>
      </w:pPr>
      <w:r>
        <w:rPr>
          <w:rStyle w:val="20"/>
          <w:rFonts w:hint="eastAsia" w:ascii="宋体" w:hAnsi="宋体" w:eastAsia="宋体" w:cs="宋体"/>
          <w:b/>
          <w:sz w:val="21"/>
          <w:szCs w:val="21"/>
          <w:lang w:val="en-US" w:eastAsia="zh-CN" w:bidi="ar-SA"/>
        </w:rPr>
        <w:t>六、产品的质量要求：</w:t>
      </w:r>
      <w:r>
        <w:rPr>
          <w:rStyle w:val="20"/>
          <w:rFonts w:hint="eastAsia" w:ascii="宋体" w:hAnsi="宋体" w:eastAsia="宋体" w:cs="宋体"/>
          <w:color w:val="000000"/>
          <w:sz w:val="21"/>
          <w:szCs w:val="21"/>
          <w:u w:val="single"/>
          <w:lang w:val="en-US" w:eastAsia="zh-CN" w:bidi="ar-SA"/>
        </w:rPr>
        <w:t>符合需求开发成型</w:t>
      </w:r>
    </w:p>
    <w:p>
      <w:pPr>
        <w:spacing w:line="360" w:lineRule="atLeast"/>
        <w:rPr>
          <w:rStyle w:val="20"/>
          <w:rFonts w:hint="eastAsia" w:ascii="宋体" w:hAnsi="宋体" w:eastAsia="宋体" w:cs="宋体"/>
          <w:sz w:val="21"/>
          <w:szCs w:val="21"/>
          <w:u w:val="single"/>
          <w:lang w:val="en-US" w:eastAsia="zh-CN" w:bidi="ar-SA"/>
        </w:rPr>
      </w:pPr>
      <w:r>
        <w:rPr>
          <w:rStyle w:val="20"/>
          <w:rFonts w:hint="eastAsia" w:ascii="宋体" w:hAnsi="宋体" w:eastAsia="宋体" w:cs="宋体"/>
          <w:b/>
          <w:sz w:val="21"/>
          <w:szCs w:val="21"/>
          <w:lang w:val="en-US" w:eastAsia="zh-CN" w:bidi="ar-SA"/>
        </w:rPr>
        <w:t>七、供方责任：</w:t>
      </w:r>
      <w:r>
        <w:rPr>
          <w:rStyle w:val="20"/>
          <w:rFonts w:hint="eastAsia" w:ascii="宋体" w:hAnsi="宋体" w:eastAsia="宋体" w:cs="宋体"/>
          <w:sz w:val="21"/>
          <w:szCs w:val="21"/>
          <w:u w:val="single"/>
          <w:lang w:val="en-US" w:eastAsia="zh-CN" w:bidi="ar-SA"/>
        </w:rPr>
        <w:t>供方保证所提供的产品必须具有合法手续及相关文件并与招标文件相符。</w:t>
      </w:r>
    </w:p>
    <w:p>
      <w:pPr>
        <w:spacing w:line="360" w:lineRule="atLeast"/>
        <w:rPr>
          <w:rStyle w:val="20"/>
          <w:rFonts w:hint="eastAsia" w:ascii="宋体" w:hAnsi="宋体" w:eastAsia="宋体" w:cs="宋体"/>
          <w:sz w:val="21"/>
          <w:szCs w:val="21"/>
          <w:u w:val="single"/>
          <w:lang w:val="en-US" w:eastAsia="zh-CN" w:bidi="ar-SA"/>
        </w:rPr>
      </w:pPr>
      <w:r>
        <w:rPr>
          <w:rStyle w:val="20"/>
          <w:rFonts w:hint="eastAsia" w:ascii="宋体" w:hAnsi="宋体" w:eastAsia="宋体" w:cs="宋体"/>
          <w:b/>
          <w:sz w:val="21"/>
          <w:szCs w:val="21"/>
          <w:lang w:val="en-US" w:eastAsia="zh-CN" w:bidi="ar-SA"/>
        </w:rPr>
        <w:t>八、需方责任：</w:t>
      </w:r>
      <w:r>
        <w:rPr>
          <w:rStyle w:val="20"/>
          <w:rFonts w:hint="eastAsia" w:ascii="宋体" w:hAnsi="宋体" w:eastAsia="宋体" w:cs="宋体"/>
          <w:sz w:val="21"/>
          <w:szCs w:val="21"/>
          <w:u w:val="single"/>
          <w:lang w:val="en-US" w:eastAsia="zh-CN" w:bidi="ar-SA"/>
        </w:rPr>
        <w:t>需方保证按合同约定支付货款，督促最终用户及时准备实施场地，及时组织验收。</w:t>
      </w:r>
    </w:p>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九、违约责任：</w:t>
      </w:r>
    </w:p>
    <w:p>
      <w:pPr>
        <w:spacing w:line="360" w:lineRule="atLeast"/>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w:t>
      </w:r>
      <w:r>
        <w:rPr>
          <w:rStyle w:val="20"/>
          <w:rFonts w:hint="eastAsia" w:ascii="宋体" w:hAnsi="宋体" w:eastAsia="宋体" w:cs="宋体"/>
          <w:sz w:val="21"/>
          <w:szCs w:val="21"/>
          <w:u w:val="single"/>
          <w:lang w:val="en-US" w:eastAsia="zh-CN" w:bidi="ar-SA"/>
        </w:rPr>
        <w:t>供方延迟交付产品的，每延期交付一天，按需交付产品货款的0.1%向需方支付违约金。</w:t>
      </w:r>
    </w:p>
    <w:p>
      <w:pPr>
        <w:spacing w:line="360" w:lineRule="atLeast"/>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2.</w:t>
      </w:r>
      <w:r>
        <w:rPr>
          <w:rStyle w:val="20"/>
          <w:rFonts w:hint="eastAsia" w:ascii="宋体" w:hAnsi="宋体" w:eastAsia="宋体" w:cs="宋体"/>
          <w:sz w:val="21"/>
          <w:szCs w:val="21"/>
          <w:u w:val="single"/>
          <w:lang w:val="en-US" w:eastAsia="zh-CN" w:bidi="ar-SA"/>
        </w:rPr>
        <w:t>供方交付产品不符合约定的，按不符合约定产品货款的10%向需方支付违约金，并且供方要按约定将产品补齐。</w:t>
      </w:r>
    </w:p>
    <w:p>
      <w:pPr>
        <w:spacing w:line="360" w:lineRule="atLeast"/>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3.</w:t>
      </w:r>
      <w:r>
        <w:rPr>
          <w:rStyle w:val="20"/>
          <w:rFonts w:hint="eastAsia" w:ascii="宋体" w:hAnsi="宋体" w:eastAsia="宋体" w:cs="宋体"/>
          <w:sz w:val="21"/>
          <w:szCs w:val="21"/>
          <w:u w:val="single"/>
          <w:lang w:val="en-US" w:eastAsia="zh-CN" w:bidi="ar-SA"/>
        </w:rPr>
        <w:t>需方延迟付款的，每延迟一天，应向供方支付延期付款额0.1%的违约金。</w:t>
      </w:r>
    </w:p>
    <w:p>
      <w:pPr>
        <w:spacing w:line="360" w:lineRule="atLeast"/>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4.</w:t>
      </w:r>
      <w:r>
        <w:rPr>
          <w:rStyle w:val="20"/>
          <w:rFonts w:hint="eastAsia" w:ascii="宋体" w:hAnsi="宋体" w:eastAsia="宋体" w:cs="宋体"/>
          <w:sz w:val="21"/>
          <w:szCs w:val="21"/>
          <w:u w:val="single"/>
          <w:lang w:val="en-US" w:eastAsia="zh-CN" w:bidi="ar-SA"/>
        </w:rPr>
        <w:t>需方不接受产品的，按合同总额的10%向供方支付违约金。</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b/>
          <w:sz w:val="21"/>
          <w:szCs w:val="21"/>
          <w:lang w:val="en-US" w:eastAsia="zh-CN" w:bidi="ar-SA"/>
        </w:rPr>
        <w:t>十、争议解决的方式：</w:t>
      </w:r>
      <w:r>
        <w:rPr>
          <w:rStyle w:val="20"/>
          <w:rFonts w:hint="eastAsia" w:ascii="宋体" w:hAnsi="宋体" w:eastAsia="宋体" w:cs="宋体"/>
          <w:sz w:val="21"/>
          <w:szCs w:val="21"/>
          <w:u w:val="single"/>
          <w:lang w:val="en-US" w:eastAsia="zh-CN" w:bidi="ar-SA"/>
        </w:rPr>
        <w:t>双方发生争议和纠纷应协商解决，协商不成的，任一方均可向需方所在地的法院提出诉讼。</w:t>
      </w:r>
    </w:p>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十一、其他：</w:t>
      </w:r>
    </w:p>
    <w:p>
      <w:pPr>
        <w:numPr>
          <w:ilvl w:val="0"/>
          <w:numId w:val="26"/>
        </w:numPr>
        <w:spacing w:line="360" w:lineRule="atLeast"/>
        <w:ind w:left="780" w:hanging="360"/>
        <w:rPr>
          <w:rStyle w:val="20"/>
          <w:rFonts w:hint="eastAsia" w:ascii="宋体" w:hAnsi="宋体" w:eastAsia="宋体" w:cs="宋体"/>
          <w:sz w:val="21"/>
          <w:szCs w:val="21"/>
          <w:u w:val="single"/>
          <w:lang w:val="en-US" w:eastAsia="zh-CN" w:bidi="ar-SA"/>
        </w:rPr>
      </w:pPr>
      <w:r>
        <w:rPr>
          <w:rStyle w:val="20"/>
          <w:rFonts w:hint="eastAsia" w:ascii="宋体" w:hAnsi="宋体" w:eastAsia="宋体" w:cs="宋体"/>
          <w:sz w:val="21"/>
          <w:szCs w:val="21"/>
          <w:u w:val="single"/>
          <w:lang w:val="en-US" w:eastAsia="zh-CN" w:bidi="ar-SA"/>
        </w:rPr>
        <w:t>因不可抗力等原因，影响执行合同或延期交货，应书面及时通知对方。</w:t>
      </w:r>
    </w:p>
    <w:p>
      <w:pPr>
        <w:numPr>
          <w:ilvl w:val="0"/>
          <w:numId w:val="26"/>
        </w:numPr>
        <w:spacing w:line="360" w:lineRule="atLeast"/>
        <w:ind w:left="780" w:hanging="360"/>
        <w:rPr>
          <w:rStyle w:val="20"/>
          <w:rFonts w:hint="eastAsia" w:ascii="宋体" w:hAnsi="宋体" w:eastAsia="宋体" w:cs="宋体"/>
          <w:sz w:val="21"/>
          <w:szCs w:val="21"/>
          <w:u w:val="single"/>
          <w:lang w:val="en-US" w:eastAsia="zh-CN" w:bidi="ar-SA"/>
        </w:rPr>
      </w:pPr>
      <w:r>
        <w:rPr>
          <w:rStyle w:val="20"/>
          <w:rFonts w:hint="eastAsia" w:ascii="宋体" w:hAnsi="宋体" w:eastAsia="宋体" w:cs="宋体"/>
          <w:sz w:val="21"/>
          <w:szCs w:val="21"/>
          <w:u w:val="single"/>
          <w:lang w:val="en-US" w:eastAsia="zh-CN" w:bidi="ar-SA"/>
        </w:rPr>
        <w:t>合同签订后，甲、乙双方必须严格按照合同内容执行，若确因不可抗力原因需要变更合同内容，甲、乙双方必须事先协商并签署补充协议，再按协议内容验收、结算，协议内容之外事项甲、乙双方不予验收、结算。</w:t>
      </w:r>
    </w:p>
    <w:p>
      <w:pPr>
        <w:spacing w:line="360" w:lineRule="atLeast"/>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3.</w:t>
      </w:r>
      <w:r>
        <w:rPr>
          <w:rStyle w:val="20"/>
          <w:rFonts w:hint="eastAsia" w:ascii="宋体" w:hAnsi="宋体" w:eastAsia="宋体" w:cs="宋体"/>
          <w:sz w:val="21"/>
          <w:szCs w:val="21"/>
          <w:u w:val="single"/>
          <w:lang w:val="en-US" w:eastAsia="zh-CN" w:bidi="ar-SA"/>
        </w:rPr>
        <w:t>本合同一式五份，经双方签字盖章后生效，供需双方供方持二份需方持三份。</w:t>
      </w:r>
    </w:p>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十二、廉洁承诺书（见招标文件第八部分）。</w:t>
      </w:r>
    </w:p>
    <w:p>
      <w:pPr>
        <w:spacing w:line="360" w:lineRule="atLeast"/>
        <w:rPr>
          <w:rStyle w:val="20"/>
          <w:rFonts w:hint="eastAsia" w:ascii="宋体" w:hAnsi="宋体" w:eastAsia="宋体" w:cs="宋体"/>
          <w:b/>
          <w:sz w:val="21"/>
          <w:szCs w:val="21"/>
          <w:lang w:val="en-US" w:eastAsia="zh-CN" w:bidi="ar-SA"/>
        </w:rPr>
      </w:pPr>
    </w:p>
    <w:tbl>
      <w:tblPr>
        <w:tblStyle w:val="6"/>
        <w:tblW w:w="900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501"/>
        <w:gridCol w:w="45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c>
          <w:tcPr>
            <w:tcW w:w="4501" w:type="dxa"/>
            <w:tcBorders>
              <w:top w:val="nil"/>
              <w:left w:val="nil"/>
              <w:bottom w:val="nil"/>
              <w:right w:val="nil"/>
            </w:tcBorders>
            <w:vAlign w:val="top"/>
          </w:tcPr>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 xml:space="preserve">供方（公章）： </w:t>
            </w:r>
            <w:r>
              <w:rPr>
                <w:rStyle w:val="20"/>
                <w:rFonts w:hint="eastAsia" w:ascii="宋体" w:hAnsi="宋体" w:eastAsia="宋体" w:cs="宋体"/>
                <w:sz w:val="21"/>
                <w:szCs w:val="21"/>
                <w:u w:val="single"/>
                <w:lang w:val="en-US" w:eastAsia="zh-CN" w:bidi="ar-SA"/>
              </w:rPr>
              <w:t xml:space="preserve">                </w:t>
            </w:r>
          </w:p>
        </w:tc>
        <w:tc>
          <w:tcPr>
            <w:tcW w:w="4502" w:type="dxa"/>
            <w:tcBorders>
              <w:top w:val="nil"/>
              <w:left w:val="nil"/>
              <w:bottom w:val="nil"/>
              <w:right w:val="nil"/>
            </w:tcBorders>
            <w:vAlign w:val="top"/>
          </w:tcPr>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需方（公章）：</w:t>
            </w:r>
            <w:r>
              <w:rPr>
                <w:rStyle w:val="20"/>
                <w:rFonts w:hint="eastAsia" w:ascii="宋体" w:hAnsi="宋体" w:eastAsia="宋体" w:cs="宋体"/>
                <w:b/>
                <w:sz w:val="21"/>
                <w:szCs w:val="21"/>
                <w:u w:val="single"/>
                <w:lang w:val="en-US" w:eastAsia="zh-CN" w:bidi="ar-SA"/>
              </w:rPr>
              <w:t>北京大学医学部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c>
          <w:tcPr>
            <w:tcW w:w="4501" w:type="dxa"/>
            <w:tcBorders>
              <w:top w:val="nil"/>
              <w:left w:val="nil"/>
              <w:bottom w:val="nil"/>
              <w:right w:val="nil"/>
            </w:tcBorders>
            <w:vAlign w:val="top"/>
          </w:tcPr>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法定代表人签字：</w:t>
            </w:r>
            <w:r>
              <w:rPr>
                <w:rStyle w:val="20"/>
                <w:rFonts w:hint="eastAsia" w:ascii="宋体" w:hAnsi="宋体" w:eastAsia="宋体" w:cs="宋体"/>
                <w:b/>
                <w:sz w:val="21"/>
                <w:szCs w:val="21"/>
                <w:u w:val="single"/>
                <w:lang w:val="en-US" w:eastAsia="zh-CN" w:bidi="ar-SA"/>
              </w:rPr>
              <w:t xml:space="preserve">              </w:t>
            </w:r>
          </w:p>
        </w:tc>
        <w:tc>
          <w:tcPr>
            <w:tcW w:w="4502" w:type="dxa"/>
            <w:tcBorders>
              <w:top w:val="nil"/>
              <w:left w:val="nil"/>
              <w:bottom w:val="nil"/>
              <w:right w:val="nil"/>
            </w:tcBorders>
            <w:vAlign w:val="top"/>
          </w:tcPr>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法定代表人签字：</w:t>
            </w:r>
            <w:r>
              <w:rPr>
                <w:rStyle w:val="20"/>
                <w:rFonts w:hint="eastAsia" w:ascii="宋体" w:hAnsi="宋体" w:eastAsia="宋体" w:cs="宋体"/>
                <w:b/>
                <w:sz w:val="21"/>
                <w:szCs w:val="21"/>
                <w:u w:val="single"/>
                <w:lang w:val="en-US" w:eastAsia="zh-CN" w:bidi="ar-SA"/>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c>
          <w:tcPr>
            <w:tcW w:w="4501" w:type="dxa"/>
            <w:tcBorders>
              <w:top w:val="nil"/>
              <w:left w:val="nil"/>
              <w:bottom w:val="nil"/>
              <w:right w:val="nil"/>
            </w:tcBorders>
            <w:vAlign w:val="top"/>
          </w:tcPr>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委托代理人签字：</w:t>
            </w:r>
            <w:r>
              <w:rPr>
                <w:rStyle w:val="20"/>
                <w:rFonts w:hint="eastAsia" w:ascii="宋体" w:hAnsi="宋体" w:eastAsia="宋体" w:cs="宋体"/>
                <w:b/>
                <w:sz w:val="21"/>
                <w:szCs w:val="21"/>
                <w:u w:val="single"/>
                <w:lang w:val="en-US" w:eastAsia="zh-CN" w:bidi="ar-SA"/>
              </w:rPr>
              <w:t xml:space="preserve">              </w:t>
            </w:r>
          </w:p>
        </w:tc>
        <w:tc>
          <w:tcPr>
            <w:tcW w:w="4502" w:type="dxa"/>
            <w:tcBorders>
              <w:top w:val="nil"/>
              <w:left w:val="nil"/>
              <w:bottom w:val="nil"/>
              <w:right w:val="nil"/>
            </w:tcBorders>
            <w:vAlign w:val="top"/>
          </w:tcPr>
          <w:p>
            <w:pPr>
              <w:spacing w:line="360" w:lineRule="atLeast"/>
              <w:rPr>
                <w:rStyle w:val="20"/>
                <w:rFonts w:hint="eastAsia" w:ascii="宋体" w:hAnsi="宋体" w:eastAsia="宋体" w:cs="宋体"/>
                <w:b/>
                <w:sz w:val="21"/>
                <w:szCs w:val="21"/>
                <w:u w:val="single"/>
                <w:lang w:val="en-US" w:eastAsia="zh-CN" w:bidi="ar-SA"/>
              </w:rPr>
            </w:pPr>
            <w:r>
              <w:rPr>
                <w:rStyle w:val="20"/>
                <w:rFonts w:hint="eastAsia" w:ascii="宋体" w:hAnsi="宋体" w:eastAsia="宋体" w:cs="宋体"/>
                <w:b/>
                <w:sz w:val="21"/>
                <w:szCs w:val="21"/>
                <w:lang w:val="en-US" w:eastAsia="zh-CN" w:bidi="ar-SA"/>
              </w:rPr>
              <w:t>委托代理人签字：</w:t>
            </w:r>
            <w:r>
              <w:rPr>
                <w:rStyle w:val="20"/>
                <w:rFonts w:hint="eastAsia" w:ascii="宋体" w:hAnsi="宋体" w:eastAsia="宋体" w:cs="宋体"/>
                <w:b/>
                <w:sz w:val="21"/>
                <w:szCs w:val="21"/>
                <w:u w:val="single"/>
                <w:lang w:val="en-US" w:eastAsia="zh-CN" w:bidi="ar-SA"/>
              </w:rPr>
              <w:t xml:space="preserve">              </w:t>
            </w:r>
          </w:p>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4"/>
                <w:szCs w:val="24"/>
                <w:lang w:val="en-US" w:eastAsia="zh-CN" w:bidi="ar-SA"/>
              </w:rPr>
              <w:t>课题负责人签字：</w:t>
            </w:r>
            <w:r>
              <w:rPr>
                <w:rStyle w:val="20"/>
                <w:rFonts w:hint="eastAsia" w:ascii="宋体" w:hAnsi="宋体" w:eastAsia="宋体" w:cs="宋体"/>
                <w:b/>
                <w:sz w:val="24"/>
                <w:szCs w:val="24"/>
                <w:u w:val="single"/>
                <w:lang w:val="en-US" w:eastAsia="zh-CN" w:bidi="ar-SA"/>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c>
          <w:tcPr>
            <w:tcW w:w="4501" w:type="dxa"/>
            <w:tcBorders>
              <w:top w:val="nil"/>
              <w:left w:val="nil"/>
              <w:bottom w:val="nil"/>
              <w:right w:val="nil"/>
            </w:tcBorders>
            <w:vAlign w:val="top"/>
          </w:tcPr>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地    址：</w:t>
            </w:r>
            <w:r>
              <w:rPr>
                <w:rStyle w:val="20"/>
                <w:rFonts w:hint="eastAsia" w:ascii="宋体" w:hAnsi="宋体" w:eastAsia="宋体" w:cs="宋体"/>
                <w:b/>
                <w:sz w:val="21"/>
                <w:szCs w:val="21"/>
                <w:u w:val="single"/>
                <w:lang w:val="en-US" w:eastAsia="zh-CN" w:bidi="ar-SA"/>
              </w:rPr>
              <w:t xml:space="preserve">                    </w:t>
            </w:r>
          </w:p>
        </w:tc>
        <w:tc>
          <w:tcPr>
            <w:tcW w:w="4502" w:type="dxa"/>
            <w:tcBorders>
              <w:top w:val="nil"/>
              <w:left w:val="nil"/>
              <w:bottom w:val="nil"/>
              <w:right w:val="nil"/>
            </w:tcBorders>
            <w:vAlign w:val="top"/>
          </w:tcPr>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地    址：</w:t>
            </w:r>
            <w:r>
              <w:rPr>
                <w:rStyle w:val="20"/>
                <w:rFonts w:hint="eastAsia" w:ascii="宋体" w:hAnsi="宋体" w:eastAsia="宋体" w:cs="宋体"/>
                <w:b/>
                <w:sz w:val="21"/>
                <w:szCs w:val="21"/>
                <w:u w:val="single"/>
                <w:lang w:val="en-US" w:eastAsia="zh-CN" w:bidi="ar-SA"/>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c>
          <w:tcPr>
            <w:tcW w:w="4501" w:type="dxa"/>
            <w:tcBorders>
              <w:top w:val="nil"/>
              <w:left w:val="nil"/>
              <w:bottom w:val="nil"/>
              <w:right w:val="nil"/>
            </w:tcBorders>
            <w:vAlign w:val="top"/>
          </w:tcPr>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电    话：</w:t>
            </w:r>
            <w:r>
              <w:rPr>
                <w:rStyle w:val="20"/>
                <w:rFonts w:hint="eastAsia" w:ascii="宋体" w:hAnsi="宋体" w:eastAsia="宋体" w:cs="宋体"/>
                <w:b/>
                <w:sz w:val="21"/>
                <w:szCs w:val="21"/>
                <w:u w:val="single"/>
                <w:lang w:val="en-US" w:eastAsia="zh-CN" w:bidi="ar-SA"/>
              </w:rPr>
              <w:t xml:space="preserve">                    </w:t>
            </w:r>
          </w:p>
        </w:tc>
        <w:tc>
          <w:tcPr>
            <w:tcW w:w="4502" w:type="dxa"/>
            <w:tcBorders>
              <w:top w:val="nil"/>
              <w:left w:val="nil"/>
              <w:bottom w:val="nil"/>
              <w:right w:val="nil"/>
            </w:tcBorders>
            <w:vAlign w:val="top"/>
          </w:tcPr>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电    话：</w:t>
            </w:r>
            <w:r>
              <w:rPr>
                <w:rStyle w:val="20"/>
                <w:rFonts w:hint="eastAsia" w:ascii="宋体" w:hAnsi="宋体" w:eastAsia="宋体" w:cs="宋体"/>
                <w:b/>
                <w:sz w:val="21"/>
                <w:szCs w:val="21"/>
                <w:u w:val="single"/>
                <w:lang w:val="en-US" w:eastAsia="zh-CN" w:bidi="ar-SA"/>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c>
          <w:tcPr>
            <w:tcW w:w="4501" w:type="dxa"/>
            <w:tcBorders>
              <w:top w:val="nil"/>
              <w:left w:val="nil"/>
              <w:bottom w:val="nil"/>
              <w:right w:val="nil"/>
            </w:tcBorders>
            <w:vAlign w:val="top"/>
          </w:tcPr>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签约时间：</w:t>
            </w:r>
            <w:r>
              <w:rPr>
                <w:rStyle w:val="20"/>
                <w:rFonts w:hint="eastAsia" w:ascii="宋体" w:hAnsi="宋体" w:eastAsia="宋体" w:cs="宋体"/>
                <w:b/>
                <w:sz w:val="21"/>
                <w:szCs w:val="21"/>
                <w:u w:val="single"/>
                <w:lang w:val="en-US" w:eastAsia="zh-CN" w:bidi="ar-SA"/>
              </w:rPr>
              <w:t xml:space="preserve">                    </w:t>
            </w:r>
          </w:p>
        </w:tc>
        <w:tc>
          <w:tcPr>
            <w:tcW w:w="4502" w:type="dxa"/>
            <w:tcBorders>
              <w:top w:val="nil"/>
              <w:left w:val="nil"/>
              <w:bottom w:val="nil"/>
              <w:right w:val="nil"/>
            </w:tcBorders>
            <w:vAlign w:val="top"/>
          </w:tcPr>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b/>
                <w:sz w:val="21"/>
                <w:szCs w:val="21"/>
                <w:lang w:val="en-US" w:eastAsia="zh-CN" w:bidi="ar-SA"/>
              </w:rPr>
              <w:t>签约时间：</w:t>
            </w:r>
            <w:r>
              <w:rPr>
                <w:rStyle w:val="20"/>
                <w:rFonts w:hint="eastAsia" w:ascii="宋体" w:hAnsi="宋体" w:eastAsia="宋体" w:cs="宋体"/>
                <w:b/>
                <w:sz w:val="21"/>
                <w:szCs w:val="21"/>
                <w:u w:val="single"/>
                <w:lang w:val="en-US" w:eastAsia="zh-CN" w:bidi="ar-SA"/>
              </w:rPr>
              <w:t xml:space="preserve">                    </w:t>
            </w:r>
          </w:p>
        </w:tc>
      </w:tr>
    </w:tbl>
    <w:p>
      <w:pPr>
        <w:spacing w:line="240" w:lineRule="auto"/>
        <w:rPr>
          <w:rStyle w:val="20"/>
          <w:rFonts w:hint="eastAsia" w:ascii="宋体" w:hAnsi="宋体" w:eastAsia="宋体" w:cs="宋体"/>
          <w:sz w:val="21"/>
          <w:szCs w:val="21"/>
          <w:lang w:val="en-US" w:eastAsia="zh-CN" w:bidi="ar-SA"/>
        </w:rPr>
        <w:sectPr>
          <w:pgSz w:w="11906" w:h="16838"/>
          <w:pgMar w:top="1418" w:right="1418" w:bottom="1418" w:left="1701" w:header="851" w:footer="851" w:gutter="0"/>
          <w:lnNumType w:countBy="0"/>
          <w:cols w:space="720" w:num="1"/>
          <w:vAlign w:val="top"/>
          <w:docGrid w:type="lines" w:linePitch="312" w:charSpace="0"/>
        </w:sectPr>
      </w:pPr>
    </w:p>
    <w:p>
      <w:pPr>
        <w:spacing w:line="240" w:lineRule="auto"/>
        <w:ind w:firstLine="2164" w:firstLineChars="902"/>
        <w:jc w:val="left"/>
        <w:rPr>
          <w:rStyle w:val="20"/>
          <w:rFonts w:hint="eastAsia" w:ascii="宋体" w:hAnsi="宋体" w:eastAsia="宋体" w:cs="宋体"/>
          <w:sz w:val="24"/>
          <w:lang w:val="en-US" w:eastAsia="zh-CN" w:bidi="ar-SA"/>
        </w:rPr>
      </w:pPr>
      <w:r>
        <w:rPr>
          <w:rStyle w:val="20"/>
          <w:rFonts w:hint="eastAsia" w:ascii="宋体" w:hAnsi="宋体" w:eastAsia="宋体" w:cs="宋体"/>
          <w:sz w:val="24"/>
          <w:lang w:val="en-US" w:eastAsia="zh-CN" w:bidi="ar-SA"/>
        </w:rPr>
        <w:t>第七部分  投标文件格式</w:t>
      </w: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rPr>
        <w:t>投标人提交文件须知</w:t>
      </w:r>
    </w:p>
    <w:p>
      <w:pPr>
        <w:pStyle w:val="80"/>
        <w:widowControl/>
        <w:numPr>
          <w:ilvl w:val="0"/>
          <w:numId w:val="28"/>
        </w:numPr>
        <w:tabs>
          <w:tab w:val="decimal" w:leader="hyphen" w:pos="425"/>
        </w:tabs>
        <w:spacing w:line="240" w:lineRule="auto"/>
        <w:ind w:left="425" w:hanging="425"/>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投标人应严格按照以下顺序填写和提交下述规定的全部格式文件以及其他有关资料，混乱的编排导致投标文件被误读或查找不到，后果由投标人承担。</w:t>
      </w:r>
    </w:p>
    <w:p>
      <w:pPr>
        <w:pStyle w:val="80"/>
        <w:widowControl/>
        <w:numPr>
          <w:ilvl w:val="0"/>
          <w:numId w:val="28"/>
        </w:numPr>
        <w:tabs>
          <w:tab w:val="decimal" w:leader="hyphen" w:pos="425"/>
        </w:tabs>
        <w:spacing w:line="240" w:lineRule="auto"/>
        <w:ind w:left="425" w:hanging="425"/>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所附表格中要求回答的全部问题和信息都必须正面回答。</w:t>
      </w:r>
    </w:p>
    <w:p>
      <w:pPr>
        <w:pStyle w:val="80"/>
        <w:widowControl/>
        <w:numPr>
          <w:ilvl w:val="0"/>
          <w:numId w:val="28"/>
        </w:numPr>
        <w:tabs>
          <w:tab w:val="decimal" w:leader="hyphen" w:pos="425"/>
        </w:tabs>
        <w:spacing w:line="240" w:lineRule="auto"/>
        <w:ind w:left="425" w:hanging="425"/>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本资格声明的签字人应保证全部声明和问题的回答是真实的和准确的。</w:t>
      </w:r>
    </w:p>
    <w:p>
      <w:pPr>
        <w:pStyle w:val="80"/>
        <w:widowControl/>
        <w:numPr>
          <w:ilvl w:val="0"/>
          <w:numId w:val="28"/>
        </w:numPr>
        <w:tabs>
          <w:tab w:val="decimal" w:leader="hyphen" w:pos="425"/>
        </w:tabs>
        <w:spacing w:line="240" w:lineRule="auto"/>
        <w:ind w:left="425" w:hanging="425"/>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评标委员会将应用投标人提交的资料并根据自己的判断，决定投标人履行合同的合格性及能力。</w:t>
      </w:r>
    </w:p>
    <w:p>
      <w:pPr>
        <w:pStyle w:val="80"/>
        <w:widowControl/>
        <w:numPr>
          <w:ilvl w:val="0"/>
          <w:numId w:val="28"/>
        </w:numPr>
        <w:tabs>
          <w:tab w:val="decimal" w:leader="hyphen" w:pos="425"/>
        </w:tabs>
        <w:spacing w:line="240" w:lineRule="auto"/>
        <w:ind w:left="425" w:hanging="425"/>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投标人提交的材料将被保密保存，但不退还。</w:t>
      </w:r>
    </w:p>
    <w:p>
      <w:pPr>
        <w:pStyle w:val="80"/>
        <w:widowControl/>
        <w:numPr>
          <w:ilvl w:val="0"/>
          <w:numId w:val="28"/>
        </w:numPr>
        <w:tabs>
          <w:tab w:val="decimal" w:leader="hyphen" w:pos="425"/>
        </w:tabs>
        <w:spacing w:line="240" w:lineRule="auto"/>
        <w:ind w:left="425" w:hanging="425"/>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全部文件应按投标人须知中规定的语言和份数提交。</w:t>
      </w:r>
    </w:p>
    <w:p>
      <w:pPr>
        <w:pStyle w:val="80"/>
        <w:widowControl/>
        <w:numPr>
          <w:ilvl w:val="0"/>
          <w:numId w:val="28"/>
        </w:numPr>
        <w:tabs>
          <w:tab w:val="decimal" w:leader="hyphen" w:pos="425"/>
        </w:tabs>
        <w:spacing w:line="240" w:lineRule="auto"/>
        <w:ind w:left="425" w:hanging="425"/>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br w:type="page"/>
      </w:r>
    </w:p>
    <w:p>
      <w:pPr>
        <w:pStyle w:val="80"/>
        <w:widowControl/>
        <w:numPr>
          <w:ilvl w:val="0"/>
          <w:numId w:val="28"/>
        </w:numPr>
        <w:tabs>
          <w:tab w:val="decimal" w:leader="hyphen" w:pos="425"/>
        </w:tabs>
        <w:spacing w:line="240" w:lineRule="auto"/>
        <w:ind w:left="425" w:hanging="425"/>
        <w:jc w:val="both"/>
        <w:rPr>
          <w:rStyle w:val="20"/>
          <w:rFonts w:hint="eastAsia" w:ascii="宋体" w:hAnsi="宋体" w:eastAsia="宋体" w:cs="宋体"/>
          <w:b/>
          <w:sz w:val="28"/>
          <w:szCs w:val="28"/>
          <w:lang w:val="en-US" w:eastAsia="zh-CN" w:bidi="ar-SA"/>
        </w:rPr>
      </w:pPr>
      <w:r>
        <w:rPr>
          <w:rStyle w:val="20"/>
          <w:rFonts w:hint="eastAsia" w:ascii="宋体" w:hAnsi="宋体" w:eastAsia="宋体" w:cs="宋体"/>
          <w:b/>
          <w:sz w:val="28"/>
          <w:szCs w:val="28"/>
          <w:lang w:val="en-US" w:eastAsia="zh-CN" w:bidi="ar-SA"/>
        </w:rPr>
        <w:t>商务部分</w:t>
      </w: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szCs w:val="21"/>
        </w:rPr>
      </w:pPr>
      <w:r>
        <w:rPr>
          <w:rStyle w:val="20"/>
          <w:rFonts w:hint="eastAsia" w:ascii="宋体" w:hAnsi="宋体" w:eastAsia="宋体" w:cs="宋体"/>
          <w:b/>
          <w:bCs/>
          <w:color w:val="000000"/>
        </w:rPr>
        <w:t>投标人应答索引表；</w:t>
      </w:r>
    </w:p>
    <w:tbl>
      <w:tblPr>
        <w:tblStyle w:val="6"/>
        <w:tblW w:w="930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3240"/>
        <w:gridCol w:w="3060"/>
        <w:gridCol w:w="144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序号</w:t>
            </w:r>
          </w:p>
        </w:tc>
        <w:tc>
          <w:tcPr>
            <w:tcW w:w="324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项目</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投标人应答内容</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证明文件在投标文件中所在页码</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1</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投标函</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2</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法定代表人委托证书</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3</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营业执照</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4</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税务登记证</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5</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企业法人代码证明</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6</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投标人资格声明</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7</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投标人注册资金</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jc w:val="righ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万元</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8</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上一年度盈利</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jc w:val="righ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万元</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9</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上一年度未偿还负债</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jc w:val="righ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万元</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10</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银行资信证明</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11</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2017年或2018年财务审计报告、资产负债表及年度损益表</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12</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投标保证金保函</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13</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近六个月内依法缴纳税收和社会保险费的相关证明</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14</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同类型项目成功案例</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15</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同类型设备成功案例合同1</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案例名称及合同金额：</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16</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同类型设备成功案例合同2</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案例名称及合同金额：</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17</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同类型设备成功案例合同3</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案例名称及合同金额：</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18</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同类型设备成功案例合同4</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案例名称及合同金额：</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19</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货物制造厂家授权书</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20</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投标产品检测报告</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21</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售后服务承诺书</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22</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商务文件偏离表</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23</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供应商认为为需要提交的其他商务资料</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24</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开标⼀览表</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25</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投标货物数量、产地及价格明细表</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26</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投标货物技术规格说明书等技术文件</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27</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投标货物技术规范偏离表，对招标设备技术规格要求逐条应答</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28</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投标⼈自行编写的技术文件</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29</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投标货物配件、耗材、选件表和特殊⼯具及备件清单</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30</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施⼯安装方案</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31</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售后服务网点明细表</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32</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服务项目偏离表</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33</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投标货物售后培训、维修和服务计划表（货物技术支持和售后服务的程序、内容及措施）；</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34</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售后服务提供方</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设备生产厂商提供全部服务、提供部分服务或售后服务全部由投标人（为代理商时）提供 </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35</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生产厂商提供的服务标准和年限</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36</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培训方案</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37</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投标人为货物提供零配件、易损件的价格和条件以及质量保证期满后提供服务的收费标准等其他费用的价格和条件</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38</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为本项目提供的其他优惠服务</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39</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是否满足⼯期/货期要求</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40</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是否满足付款条件</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41</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如投标人不能直接签订进出口合同，需明确提供其境外签约公司信息等材料</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0" w:type="dxa"/>
            <w:tcBorders>
              <w:top w:val="single" w:color="000000" w:sz="4" w:space="0"/>
              <w:left w:val="single" w:color="000000" w:sz="4" w:space="0"/>
              <w:bottom w:val="single" w:color="000000" w:sz="4" w:space="0"/>
              <w:right w:val="single" w:color="000000" w:sz="4" w:space="0"/>
            </w:tcBorders>
            <w:vAlign w:val="center"/>
          </w:tcPr>
          <w:p>
            <w:pPr>
              <w:spacing w:line="360" w:lineRule="atLeast"/>
              <w:jc w:val="center"/>
              <w:rPr>
                <w:rStyle w:val="20"/>
                <w:rFonts w:hint="eastAsia" w:ascii="宋体" w:hAnsi="宋体" w:eastAsia="宋体" w:cs="宋体"/>
                <w:color w:val="000000"/>
                <w:sz w:val="20"/>
                <w:lang w:val="en-US" w:eastAsia="zh-CN" w:bidi="ar-SA"/>
              </w:rPr>
            </w:pPr>
            <w:r>
              <w:rPr>
                <w:rStyle w:val="20"/>
                <w:rFonts w:hint="eastAsia" w:ascii="宋体" w:hAnsi="宋体" w:eastAsia="宋体" w:cs="宋体"/>
                <w:color w:val="000000"/>
                <w:sz w:val="20"/>
                <w:lang w:val="en-US" w:eastAsia="zh-CN" w:bidi="ar-SA"/>
              </w:rPr>
              <w:t>42</w:t>
            </w:r>
          </w:p>
        </w:tc>
        <w:tc>
          <w:tcPr>
            <w:tcW w:w="32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其他说明和资料</w:t>
            </w:r>
          </w:p>
        </w:tc>
        <w:tc>
          <w:tcPr>
            <w:tcW w:w="306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有或没有</w:t>
            </w:r>
          </w:p>
        </w:tc>
        <w:tc>
          <w:tcPr>
            <w:tcW w:w="144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60" w:lineRule="atLeast"/>
              <w:rPr>
                <w:rStyle w:val="20"/>
                <w:rFonts w:hint="eastAsia" w:ascii="宋体" w:hAnsi="宋体" w:eastAsia="宋体" w:cs="宋体"/>
                <w:sz w:val="21"/>
                <w:szCs w:val="21"/>
                <w:lang w:val="en-US" w:eastAsia="zh-CN" w:bidi="ar-SA"/>
              </w:rPr>
            </w:pPr>
          </w:p>
        </w:tc>
      </w:tr>
    </w:tbl>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注：上表内容为参考模板，投标人应根据本招标文件内容自行进行增减调整。</w:t>
      </w: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rPr>
        <w:t>投标函</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u w:val="single"/>
          <w:lang w:val="en-US" w:eastAsia="zh-CN" w:bidi="ar-SA"/>
        </w:rPr>
        <w:t>北京大学医学部</w:t>
      </w:r>
      <w:r>
        <w:rPr>
          <w:rStyle w:val="20"/>
          <w:rFonts w:hint="eastAsia" w:ascii="宋体" w:hAnsi="宋体" w:eastAsia="宋体" w:cs="宋体"/>
          <w:sz w:val="21"/>
          <w:szCs w:val="21"/>
          <w:lang w:val="en-US" w:eastAsia="zh-CN" w:bidi="ar-SA"/>
        </w:rPr>
        <w:t>：</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w:t>
      </w:r>
      <w:r>
        <w:rPr>
          <w:rStyle w:val="20"/>
          <w:rFonts w:hint="eastAsia" w:ascii="宋体" w:hAnsi="宋体" w:eastAsia="宋体" w:cs="宋体"/>
          <w:sz w:val="21"/>
          <w:szCs w:val="21"/>
          <w:u w:val="single"/>
          <w:lang w:val="en-US" w:eastAsia="zh-CN" w:bidi="ar-SA"/>
        </w:rPr>
        <w:t xml:space="preserve">                      </w:t>
      </w:r>
      <w:r>
        <w:rPr>
          <w:rStyle w:val="20"/>
          <w:rFonts w:hint="eastAsia" w:ascii="宋体" w:hAnsi="宋体" w:eastAsia="宋体" w:cs="宋体"/>
          <w:sz w:val="21"/>
          <w:szCs w:val="21"/>
          <w:lang w:val="en-US" w:eastAsia="zh-CN" w:bidi="ar-SA"/>
        </w:rPr>
        <w:t>(投标人全称)授权</w:t>
      </w:r>
      <w:r>
        <w:rPr>
          <w:rStyle w:val="20"/>
          <w:rFonts w:hint="eastAsia" w:ascii="宋体" w:hAnsi="宋体" w:eastAsia="宋体" w:cs="宋体"/>
          <w:sz w:val="21"/>
          <w:szCs w:val="21"/>
          <w:u w:val="single"/>
          <w:lang w:val="en-US" w:eastAsia="zh-CN" w:bidi="ar-SA"/>
        </w:rPr>
        <w:t xml:space="preserve">          </w:t>
      </w:r>
      <w:r>
        <w:rPr>
          <w:rStyle w:val="20"/>
          <w:rFonts w:hint="eastAsia" w:ascii="宋体" w:hAnsi="宋体" w:eastAsia="宋体" w:cs="宋体"/>
          <w:sz w:val="21"/>
          <w:szCs w:val="21"/>
          <w:lang w:val="en-US" w:eastAsia="zh-CN" w:bidi="ar-SA"/>
        </w:rPr>
        <w:t>(投标人代表姓名)</w:t>
      </w:r>
      <w:r>
        <w:rPr>
          <w:rStyle w:val="20"/>
          <w:rFonts w:hint="eastAsia" w:ascii="宋体" w:hAnsi="宋体" w:eastAsia="宋体" w:cs="宋体"/>
          <w:sz w:val="21"/>
          <w:szCs w:val="21"/>
          <w:u w:val="single"/>
          <w:lang w:val="en-US" w:eastAsia="zh-CN" w:bidi="ar-SA"/>
        </w:rPr>
        <w:t xml:space="preserve">            </w:t>
      </w:r>
      <w:r>
        <w:rPr>
          <w:rStyle w:val="20"/>
          <w:rFonts w:hint="eastAsia" w:ascii="宋体" w:hAnsi="宋体" w:eastAsia="宋体" w:cs="宋体"/>
          <w:sz w:val="21"/>
          <w:szCs w:val="21"/>
          <w:lang w:val="en-US" w:eastAsia="zh-CN" w:bidi="ar-SA"/>
        </w:rPr>
        <w:t>(职务、职称)为我方代表，参加贵方组织的</w:t>
      </w:r>
      <w:r>
        <w:rPr>
          <w:rStyle w:val="20"/>
          <w:rFonts w:hint="eastAsia" w:ascii="宋体" w:hAnsi="宋体" w:eastAsia="宋体" w:cs="宋体"/>
          <w:sz w:val="21"/>
          <w:szCs w:val="21"/>
          <w:u w:val="single"/>
          <w:lang w:val="en-US" w:eastAsia="zh-CN" w:bidi="ar-SA"/>
        </w:rPr>
        <w:t xml:space="preserve">                    </w:t>
      </w:r>
      <w:r>
        <w:rPr>
          <w:rStyle w:val="20"/>
          <w:rFonts w:hint="eastAsia" w:ascii="宋体" w:hAnsi="宋体" w:eastAsia="宋体" w:cs="宋体"/>
          <w:sz w:val="21"/>
          <w:szCs w:val="21"/>
          <w:lang w:val="en-US" w:eastAsia="zh-CN" w:bidi="ar-SA"/>
        </w:rPr>
        <w:t>(项目名称、项目编号、包号)招标的有关活动，并对此项目进行投标。为此：</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我方同意在本项目招标文件中规定的开标日起180天内遵守本投标文件中的承诺且在此期限期满之前均具有约束力。</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我方承诺已经具备《中华人民共和国政府采购法》中规定的参加政府采购活动的供应商应当具备的条件：</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具有独立承担民事责任的能力；</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具有良好的商业信誉和健全的财务会计制度；</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具有履行合同所必需的设备和专业技术能力；</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有依法缴纳税收和社会保障资金的良好记录；</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参加此项采购活动前三年内，在经营活动中没有重大违法记录。</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法律、行政法规规定的其他条件。</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提供投标须知规定的全部投标文件，包括投标文件正本、副本、开标一览表和电子文档。</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按招标文件要求提供和交付的货物和服务的投标报价详见开标一览表。</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我方承诺：完全理解投标报价超过开标时公布的预算金额时，投标将被拒绝。</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我方承诺：开标一览表或投标书中未注明出处的优惠金额可由采购人按用户利益最大化原则分摊到主要设备费用中，折算后的价格作为维保和追加设备的计费依据，其集成费、服务费、培训费等非设备费用将保持原值不变。</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保证忠实地执行双方所签订的合同，并承担合同规定的责任和义务。</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承诺完全满足和响应招标文件中的各项商务和技术要求，若有偏差，已在投标文件商务条款偏离表中予以明确特别说明。</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保证遵守招标文件的规定。</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如果在开标后规定的投标有效期内撤回投标，我方的投标保证金可被贵方没收。</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我方完全理解贵方不一定接受最低价的投标或收到的任何投标。</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我方愿意向贵方提供任何与本项投标有关的数据、情况和技术资料。若贵方需要，我方愿意提供我方作出的一切承诺的证明材料。</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我方已详细审核全部投标文件，包括投标文件修改书（如有的话）、参考资料及有关附件，确认无误。</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我方承诺：采购人若需追加采购本项目招标文件所列货物及相关服务的，在不改变合同其他实质性条款的前提下，按相同或更优惠的折扣率保证供货。</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我方承诺接受招标文件中合同主要条款的全部条款且无任何异议。</w:t>
      </w:r>
    </w:p>
    <w:p>
      <w:pPr>
        <w:pStyle w:val="80"/>
        <w:widowControl/>
        <w:numPr>
          <w:ilvl w:val="0"/>
          <w:numId w:val="29"/>
        </w:numPr>
        <w:spacing w:line="240" w:lineRule="auto"/>
        <w:ind w:left="709" w:hanging="709"/>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30"/>
        </w:numPr>
        <w:spacing w:line="240" w:lineRule="auto"/>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提供虚假材料谋取中标、成交的；</w:t>
      </w:r>
    </w:p>
    <w:p>
      <w:pPr>
        <w:numPr>
          <w:ilvl w:val="0"/>
          <w:numId w:val="30"/>
        </w:numPr>
        <w:spacing w:line="240" w:lineRule="auto"/>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采取不正当手段诋毁、排挤其他供应商的；</w:t>
      </w:r>
    </w:p>
    <w:p>
      <w:pPr>
        <w:numPr>
          <w:ilvl w:val="0"/>
          <w:numId w:val="30"/>
        </w:numPr>
        <w:spacing w:line="240" w:lineRule="auto"/>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与采购人、其它供应商或者招标单位工作人员恶意串通的；</w:t>
      </w:r>
    </w:p>
    <w:p>
      <w:pPr>
        <w:numPr>
          <w:ilvl w:val="0"/>
          <w:numId w:val="30"/>
        </w:numPr>
        <w:spacing w:line="240" w:lineRule="auto"/>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向采购人、招标单位工作人员行贿或者提供其他不正当利益的；</w:t>
      </w:r>
    </w:p>
    <w:p>
      <w:pPr>
        <w:numPr>
          <w:ilvl w:val="0"/>
          <w:numId w:val="30"/>
        </w:numPr>
        <w:spacing w:line="240" w:lineRule="auto"/>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未经招标单位同意，在采购过程中与采购人进行协商谈判的；</w:t>
      </w:r>
    </w:p>
    <w:p>
      <w:pPr>
        <w:numPr>
          <w:ilvl w:val="0"/>
          <w:numId w:val="30"/>
        </w:numPr>
        <w:spacing w:line="240" w:lineRule="auto"/>
        <w:ind w:left="1200" w:hanging="7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拒绝有关部门监督检查或提供虚假情况的。</w:t>
      </w:r>
    </w:p>
    <w:p>
      <w:pPr>
        <w:spacing w:line="240" w:lineRule="auto"/>
        <w:ind w:left="48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如果我方违反上述承诺，或承诺内容不属实，我方愿意承担一切不利的法律后果。</w:t>
      </w:r>
    </w:p>
    <w:p>
      <w:pPr>
        <w:spacing w:line="240" w:lineRule="auto"/>
        <w:rPr>
          <w:rStyle w:val="20"/>
          <w:rFonts w:hint="eastAsia" w:ascii="宋体" w:hAnsi="宋体" w:eastAsia="宋体" w:cs="宋体"/>
          <w:sz w:val="21"/>
          <w:szCs w:val="21"/>
          <w:lang w:val="en-US" w:eastAsia="zh-CN" w:bidi="ar-SA"/>
        </w:rPr>
      </w:pPr>
    </w:p>
    <w:p>
      <w:pPr>
        <w:spacing w:line="240" w:lineRule="auto"/>
        <w:rPr>
          <w:rStyle w:val="20"/>
          <w:rFonts w:hint="eastAsia" w:ascii="宋体" w:hAnsi="宋体" w:eastAsia="宋体" w:cs="宋体"/>
          <w:sz w:val="21"/>
          <w:szCs w:val="21"/>
          <w:lang w:val="en-US" w:eastAsia="zh-CN" w:bidi="ar-SA"/>
        </w:rPr>
      </w:pPr>
    </w:p>
    <w:p>
      <w:pPr>
        <w:spacing w:line="240" w:lineRule="auto"/>
        <w:ind w:firstLine="42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与本投标有关的一切往来通讯请寄：</w:t>
      </w:r>
    </w:p>
    <w:p>
      <w:pPr>
        <w:tabs>
          <w:tab w:val="center" w:pos="480"/>
        </w:tabs>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地址：____________________________________________________</w:t>
      </w:r>
    </w:p>
    <w:p>
      <w:pPr>
        <w:tabs>
          <w:tab w:val="center" w:pos="480"/>
        </w:tabs>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邮编：____________　</w:t>
      </w:r>
    </w:p>
    <w:p>
      <w:pPr>
        <w:tabs>
          <w:tab w:val="center" w:pos="480"/>
        </w:tabs>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电话：____________　</w:t>
      </w:r>
    </w:p>
    <w:p>
      <w:pPr>
        <w:tabs>
          <w:tab w:val="center" w:pos="480"/>
        </w:tabs>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传真：____________</w:t>
      </w:r>
    </w:p>
    <w:p>
      <w:pPr>
        <w:tabs>
          <w:tab w:val="center" w:pos="480"/>
        </w:tabs>
        <w:spacing w:line="240" w:lineRule="auto"/>
        <w:ind w:firstLine="478" w:firstLineChars="228"/>
        <w:rPr>
          <w:rStyle w:val="20"/>
          <w:rFonts w:hint="eastAsia" w:ascii="宋体" w:hAnsi="宋体" w:eastAsia="宋体" w:cs="宋体"/>
          <w:sz w:val="21"/>
          <w:szCs w:val="21"/>
          <w:u w:val="single"/>
          <w:lang w:val="en-US" w:eastAsia="zh-CN" w:bidi="ar-SA"/>
        </w:rPr>
      </w:pPr>
      <w:r>
        <w:rPr>
          <w:rStyle w:val="20"/>
          <w:rFonts w:hint="eastAsia" w:ascii="宋体" w:hAnsi="宋体" w:eastAsia="宋体" w:cs="宋体"/>
          <w:sz w:val="21"/>
          <w:szCs w:val="21"/>
          <w:lang w:val="en-US" w:eastAsia="zh-CN" w:bidi="ar-SA"/>
        </w:rPr>
        <w:t>投标人代表姓名：</w:t>
      </w:r>
      <w:r>
        <w:rPr>
          <w:rStyle w:val="20"/>
          <w:rFonts w:hint="eastAsia" w:ascii="宋体" w:hAnsi="宋体" w:eastAsia="宋体" w:cs="宋体"/>
          <w:sz w:val="21"/>
          <w:szCs w:val="21"/>
          <w:u w:val="single"/>
          <w:lang w:val="en-US" w:eastAsia="zh-CN" w:bidi="ar-SA"/>
        </w:rPr>
        <w:t xml:space="preserve">              </w:t>
      </w:r>
    </w:p>
    <w:p>
      <w:pPr>
        <w:tabs>
          <w:tab w:val="center" w:pos="480"/>
        </w:tabs>
        <w:spacing w:line="240" w:lineRule="auto"/>
        <w:ind w:firstLine="478" w:firstLineChars="228"/>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投标人代表联系电话，e-mail：</w:t>
      </w:r>
      <w:r>
        <w:rPr>
          <w:rStyle w:val="20"/>
          <w:rFonts w:hint="eastAsia" w:ascii="宋体" w:hAnsi="宋体" w:eastAsia="宋体" w:cs="宋体"/>
          <w:sz w:val="21"/>
          <w:szCs w:val="21"/>
          <w:u w:val="single"/>
          <w:lang w:val="en-US" w:eastAsia="zh-CN" w:bidi="ar-SA"/>
        </w:rPr>
        <w:t xml:space="preserve">           </w:t>
      </w:r>
    </w:p>
    <w:p>
      <w:pPr>
        <w:tabs>
          <w:tab w:val="center" w:pos="480"/>
        </w:tabs>
        <w:spacing w:line="240" w:lineRule="auto"/>
        <w:rPr>
          <w:rStyle w:val="20"/>
          <w:rFonts w:hint="eastAsia" w:ascii="宋体" w:hAnsi="宋体" w:eastAsia="宋体" w:cs="宋体"/>
          <w:sz w:val="21"/>
          <w:szCs w:val="21"/>
          <w:lang w:val="en-US" w:eastAsia="zh-CN" w:bidi="ar-SA"/>
        </w:rPr>
      </w:pPr>
    </w:p>
    <w:p>
      <w:pPr>
        <w:spacing w:line="240" w:lineRule="auto"/>
        <w:ind w:firstLine="3960"/>
        <w:rPr>
          <w:rStyle w:val="20"/>
          <w:rFonts w:hint="eastAsia" w:ascii="宋体" w:hAnsi="宋体" w:eastAsia="宋体" w:cs="宋体"/>
          <w:sz w:val="21"/>
          <w:szCs w:val="21"/>
          <w:lang w:val="en-US" w:eastAsia="zh-CN" w:bidi="ar-SA"/>
        </w:rPr>
      </w:pPr>
    </w:p>
    <w:p>
      <w:pPr>
        <w:tabs>
          <w:tab w:val="bar" w:pos="1200"/>
        </w:tabs>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投标人(公章)：</w:t>
      </w:r>
    </w:p>
    <w:p>
      <w:pPr>
        <w:tabs>
          <w:tab w:val="bar" w:pos="1200"/>
        </w:tabs>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投标人代表(签字)：</w:t>
      </w:r>
    </w:p>
    <w:p>
      <w:pPr>
        <w:tabs>
          <w:tab w:val="bar" w:pos="1200"/>
        </w:tabs>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日　期：</w:t>
      </w:r>
    </w:p>
    <w:p>
      <w:pPr>
        <w:spacing w:line="240" w:lineRule="auto"/>
        <w:rPr>
          <w:rStyle w:val="20"/>
          <w:rFonts w:hint="eastAsia" w:ascii="宋体" w:hAnsi="宋体" w:eastAsia="宋体" w:cs="宋体"/>
          <w:sz w:val="21"/>
          <w:szCs w:val="21"/>
          <w:lang w:val="en-US" w:eastAsia="zh-CN" w:bidi="ar-SA"/>
        </w:rPr>
      </w:pPr>
    </w:p>
    <w:p>
      <w:pPr>
        <w:spacing w:line="240" w:lineRule="auto"/>
        <w:ind w:left="420" w:hanging="420" w:hanging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注：除可填报项目外，对本投标函的任何修改将被视为非实质性响应投标，从而导致该投标被拒绝。</w:t>
      </w: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rPr>
        <w:t>法定代表人授权委托书</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北京大学医学部：</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本授权书声明：注册于</w:t>
      </w:r>
      <w:r>
        <w:rPr>
          <w:rStyle w:val="20"/>
          <w:rFonts w:hint="eastAsia" w:ascii="宋体" w:hAnsi="宋体" w:eastAsia="宋体" w:cs="宋体"/>
          <w:sz w:val="21"/>
          <w:szCs w:val="21"/>
          <w:u w:val="single"/>
          <w:lang w:val="en-US" w:eastAsia="zh-CN" w:bidi="ar-SA"/>
        </w:rPr>
        <w:t xml:space="preserve">            </w:t>
      </w:r>
      <w:r>
        <w:rPr>
          <w:rStyle w:val="20"/>
          <w:rFonts w:hint="eastAsia" w:ascii="宋体" w:hAnsi="宋体" w:eastAsia="宋体" w:cs="宋体"/>
          <w:sz w:val="21"/>
          <w:szCs w:val="21"/>
          <w:lang w:val="en-US" w:eastAsia="zh-CN" w:bidi="ar-SA"/>
        </w:rPr>
        <w:t>（投标人住址）的</w:t>
      </w:r>
      <w:r>
        <w:rPr>
          <w:rStyle w:val="20"/>
          <w:rFonts w:hint="eastAsia" w:ascii="宋体" w:hAnsi="宋体" w:eastAsia="宋体" w:cs="宋体"/>
          <w:sz w:val="21"/>
          <w:szCs w:val="21"/>
          <w:u w:val="single"/>
          <w:lang w:val="en-US" w:eastAsia="zh-CN" w:bidi="ar-SA"/>
        </w:rPr>
        <w:t xml:space="preserve">            </w:t>
      </w:r>
      <w:r>
        <w:rPr>
          <w:rStyle w:val="20"/>
          <w:rFonts w:hint="eastAsia" w:ascii="宋体" w:hAnsi="宋体" w:eastAsia="宋体" w:cs="宋体"/>
          <w:sz w:val="21"/>
          <w:szCs w:val="21"/>
          <w:lang w:val="en-US" w:eastAsia="zh-CN" w:bidi="ar-SA"/>
        </w:rPr>
        <w:t>（投标人名称）法定代表人</w:t>
      </w:r>
      <w:r>
        <w:rPr>
          <w:rStyle w:val="20"/>
          <w:rFonts w:hint="eastAsia" w:ascii="宋体" w:hAnsi="宋体" w:eastAsia="宋体" w:cs="宋体"/>
          <w:sz w:val="21"/>
          <w:szCs w:val="21"/>
          <w:u w:val="single"/>
          <w:lang w:val="en-US" w:eastAsia="zh-CN" w:bidi="ar-SA"/>
        </w:rPr>
        <w:t xml:space="preserve">            </w:t>
      </w:r>
      <w:r>
        <w:rPr>
          <w:rStyle w:val="20"/>
          <w:rFonts w:hint="eastAsia" w:ascii="宋体" w:hAnsi="宋体" w:eastAsia="宋体" w:cs="宋体"/>
          <w:sz w:val="21"/>
          <w:szCs w:val="21"/>
          <w:lang w:val="en-US" w:eastAsia="zh-CN" w:bidi="ar-SA"/>
        </w:rPr>
        <w:t>（法定代表人姓名、职务）代表本公司授权在下面签字的</w:t>
      </w:r>
      <w:r>
        <w:rPr>
          <w:rStyle w:val="20"/>
          <w:rFonts w:hint="eastAsia" w:ascii="宋体" w:hAnsi="宋体" w:eastAsia="宋体" w:cs="宋体"/>
          <w:sz w:val="21"/>
          <w:szCs w:val="21"/>
          <w:u w:val="single"/>
          <w:lang w:val="en-US" w:eastAsia="zh-CN" w:bidi="ar-SA"/>
        </w:rPr>
        <w:t xml:space="preserve">          </w:t>
      </w:r>
      <w:r>
        <w:rPr>
          <w:rStyle w:val="20"/>
          <w:rFonts w:hint="eastAsia" w:ascii="宋体" w:hAnsi="宋体" w:eastAsia="宋体" w:cs="宋体"/>
          <w:sz w:val="21"/>
          <w:szCs w:val="21"/>
          <w:lang w:val="en-US" w:eastAsia="zh-CN" w:bidi="ar-SA"/>
        </w:rPr>
        <w:t>（投标人代表姓名、职务）为本公司的合法代理人，就贵方组织的</w:t>
      </w:r>
      <w:r>
        <w:rPr>
          <w:rStyle w:val="20"/>
          <w:rFonts w:hint="eastAsia" w:ascii="宋体" w:hAnsi="宋体" w:eastAsia="宋体" w:cs="宋体"/>
          <w:b/>
          <w:sz w:val="21"/>
          <w:szCs w:val="21"/>
          <w:u w:val="single"/>
          <w:lang w:val="en-US" w:eastAsia="zh-CN" w:bidi="ar-SA"/>
        </w:rPr>
        <w:t xml:space="preserve">                    </w:t>
      </w:r>
      <w:r>
        <w:rPr>
          <w:rStyle w:val="20"/>
          <w:rFonts w:hint="eastAsia" w:ascii="宋体" w:hAnsi="宋体" w:eastAsia="宋体" w:cs="宋体"/>
          <w:b/>
          <w:sz w:val="21"/>
          <w:szCs w:val="21"/>
          <w:lang w:val="en-US" w:eastAsia="zh-CN" w:bidi="ar-SA"/>
        </w:rPr>
        <w:t xml:space="preserve"> </w:t>
      </w:r>
      <w:r>
        <w:rPr>
          <w:rStyle w:val="20"/>
          <w:rFonts w:hint="eastAsia" w:ascii="宋体" w:hAnsi="宋体" w:eastAsia="宋体" w:cs="宋体"/>
          <w:sz w:val="21"/>
          <w:szCs w:val="21"/>
          <w:lang w:val="en-US" w:eastAsia="zh-CN" w:bidi="ar-SA"/>
        </w:rPr>
        <w:t>项目，项目编号：</w:t>
      </w:r>
      <w:r>
        <w:rPr>
          <w:rStyle w:val="20"/>
          <w:rFonts w:hint="eastAsia" w:ascii="宋体" w:hAnsi="宋体" w:eastAsia="宋体" w:cs="宋体"/>
          <w:b/>
          <w:sz w:val="21"/>
          <w:szCs w:val="21"/>
          <w:u w:val="single"/>
          <w:lang w:val="en-US" w:eastAsia="zh-CN" w:bidi="ar-SA"/>
        </w:rPr>
        <w:t xml:space="preserve">          </w:t>
      </w:r>
      <w:r>
        <w:rPr>
          <w:rStyle w:val="20"/>
          <w:rFonts w:hint="eastAsia" w:ascii="宋体" w:hAnsi="宋体" w:eastAsia="宋体" w:cs="宋体"/>
          <w:sz w:val="21"/>
          <w:szCs w:val="21"/>
          <w:lang w:val="en-US" w:eastAsia="zh-CN" w:bidi="ar-SA"/>
        </w:rPr>
        <w:t>，以本公司名义处理一切与之有关的事务。</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本授权书于    年  月  日签字生效，特此声明。</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w:t>
      </w:r>
    </w:p>
    <w:p>
      <w:pPr>
        <w:spacing w:line="240" w:lineRule="auto"/>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法定代表人印刷体姓名、签字或盖章：</w:t>
      </w:r>
      <w:r>
        <w:rPr>
          <w:rStyle w:val="20"/>
          <w:rFonts w:hint="eastAsia" w:ascii="宋体" w:hAnsi="宋体" w:eastAsia="宋体" w:cs="宋体"/>
          <w:sz w:val="21"/>
          <w:szCs w:val="21"/>
          <w:u w:val="single"/>
          <w:lang w:val="en-US" w:eastAsia="zh-CN" w:bidi="ar-SA"/>
        </w:rPr>
        <w:t xml:space="preserve">             </w:t>
      </w:r>
      <w:r>
        <w:rPr>
          <w:rStyle w:val="20"/>
          <w:rFonts w:hint="eastAsia" w:ascii="宋体" w:hAnsi="宋体" w:eastAsia="宋体" w:cs="宋体"/>
          <w:sz w:val="21"/>
          <w:szCs w:val="21"/>
          <w:lang w:val="en-US" w:eastAsia="zh-CN" w:bidi="ar-SA"/>
        </w:rPr>
        <w:t xml:space="preserve">   </w:t>
      </w:r>
      <w:r>
        <w:rPr>
          <w:rStyle w:val="20"/>
          <w:rFonts w:hint="eastAsia" w:ascii="宋体" w:hAnsi="宋体" w:eastAsia="宋体" w:cs="宋体"/>
          <w:sz w:val="21"/>
          <w:szCs w:val="21"/>
          <w:u w:val="single"/>
          <w:lang w:val="en-US" w:eastAsia="zh-CN" w:bidi="ar-SA"/>
        </w:rPr>
        <w:t xml:space="preserve">               </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投标人代表印刷体姓名、签字或盖章：</w:t>
      </w:r>
      <w:r>
        <w:rPr>
          <w:rStyle w:val="20"/>
          <w:rFonts w:hint="eastAsia" w:ascii="宋体" w:hAnsi="宋体" w:eastAsia="宋体" w:cs="宋体"/>
          <w:sz w:val="21"/>
          <w:szCs w:val="21"/>
          <w:u w:val="single"/>
          <w:lang w:val="en-US" w:eastAsia="zh-CN" w:bidi="ar-SA"/>
        </w:rPr>
        <w:t xml:space="preserve">             </w:t>
      </w:r>
      <w:r>
        <w:rPr>
          <w:rStyle w:val="20"/>
          <w:rFonts w:hint="eastAsia" w:ascii="宋体" w:hAnsi="宋体" w:eastAsia="宋体" w:cs="宋体"/>
          <w:sz w:val="21"/>
          <w:szCs w:val="21"/>
          <w:lang w:val="en-US" w:eastAsia="zh-CN" w:bidi="ar-SA"/>
        </w:rPr>
        <w:t xml:space="preserve">   </w:t>
      </w:r>
      <w:r>
        <w:rPr>
          <w:rStyle w:val="20"/>
          <w:rFonts w:hint="eastAsia" w:ascii="宋体" w:hAnsi="宋体" w:eastAsia="宋体" w:cs="宋体"/>
          <w:sz w:val="21"/>
          <w:szCs w:val="21"/>
          <w:u w:val="single"/>
          <w:lang w:val="en-US" w:eastAsia="zh-CN" w:bidi="ar-SA"/>
        </w:rPr>
        <w:t xml:space="preserve">               </w:t>
      </w:r>
      <w:r>
        <w:rPr>
          <w:rStyle w:val="20"/>
          <w:rFonts w:hint="eastAsia" w:ascii="宋体" w:hAnsi="宋体" w:eastAsia="宋体" w:cs="宋体"/>
          <w:sz w:val="21"/>
          <w:szCs w:val="21"/>
          <w:lang w:val="en-US" w:eastAsia="zh-CN" w:bidi="ar-SA"/>
        </w:rPr>
        <w:t xml:space="preserve">                    </w:t>
      </w:r>
    </w:p>
    <w:p>
      <w:pPr>
        <w:tabs>
          <w:tab w:val="bar" w:pos="1230"/>
        </w:tabs>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投标人全称、投标人公章：</w:t>
      </w:r>
      <w:r>
        <w:rPr>
          <w:rStyle w:val="20"/>
          <w:rFonts w:hint="eastAsia" w:ascii="宋体" w:hAnsi="宋体" w:eastAsia="宋体" w:cs="宋体"/>
          <w:sz w:val="21"/>
          <w:szCs w:val="21"/>
          <w:u w:val="single"/>
          <w:lang w:val="en-US" w:eastAsia="zh-CN" w:bidi="ar-SA"/>
        </w:rPr>
        <w:t xml:space="preserve">             </w:t>
      </w:r>
      <w:r>
        <w:rPr>
          <w:rStyle w:val="20"/>
          <w:rFonts w:hint="eastAsia" w:ascii="宋体" w:hAnsi="宋体" w:eastAsia="宋体" w:cs="宋体"/>
          <w:sz w:val="21"/>
          <w:szCs w:val="21"/>
          <w:lang w:val="en-US" w:eastAsia="zh-CN" w:bidi="ar-SA"/>
        </w:rPr>
        <w:t xml:space="preserve">   </w:t>
      </w:r>
      <w:r>
        <w:rPr>
          <w:rStyle w:val="20"/>
          <w:rFonts w:hint="eastAsia" w:ascii="宋体" w:hAnsi="宋体" w:eastAsia="宋体" w:cs="宋体"/>
          <w:sz w:val="21"/>
          <w:szCs w:val="21"/>
          <w:u w:val="single"/>
          <w:lang w:val="en-US" w:eastAsia="zh-CN" w:bidi="ar-SA"/>
        </w:rPr>
        <w:t xml:space="preserve">               </w:t>
      </w:r>
    </w:p>
    <w:p>
      <w:pPr>
        <w:spacing w:line="240" w:lineRule="auto"/>
        <w:ind w:left="420" w:hanging="420" w:hangingChars="200"/>
        <w:rPr>
          <w:rStyle w:val="20"/>
          <w:rFonts w:hint="eastAsia" w:ascii="宋体" w:hAnsi="宋体" w:eastAsia="宋体" w:cs="宋体"/>
          <w:sz w:val="21"/>
          <w:szCs w:val="21"/>
          <w:lang w:val="en-US" w:eastAsia="zh-CN" w:bidi="ar-SA"/>
        </w:rPr>
      </w:pPr>
    </w:p>
    <w:p>
      <w:pPr>
        <w:spacing w:line="240" w:lineRule="auto"/>
        <w:ind w:left="420" w:hanging="420" w:hanging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注：除可填报项目外，对本投标函的任何修改将被视为非实质性响应投标，从而导致该投标被拒绝。</w:t>
      </w: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rPr>
        <w:t>投标人营业执照</w:t>
      </w: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rPr>
        <w:t>投标保证金</w:t>
      </w: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rPr>
        <w:t>按照“投标人的资质要求”规定提交的相关证明文件；</w:t>
      </w: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rPr>
        <w:t>货物质量和服务质量认证（ISO9000系列等）文件</w:t>
      </w: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rPr>
        <w:t>案例介绍</w:t>
      </w: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szCs w:val="21"/>
        </w:rPr>
        <w:t>商务条款</w:t>
      </w:r>
      <w:r>
        <w:rPr>
          <w:rStyle w:val="20"/>
          <w:rFonts w:hint="eastAsia" w:ascii="宋体" w:hAnsi="宋体" w:eastAsia="宋体" w:cs="宋体"/>
          <w:b/>
          <w:bCs/>
          <w:color w:val="000000"/>
        </w:rPr>
        <w:t>偏离表（以包为单位分别填写）</w:t>
      </w:r>
    </w:p>
    <w:p>
      <w:pPr>
        <w:spacing w:line="360" w:lineRule="atLeast"/>
        <w:ind w:firstLine="420" w:firstLineChars="200"/>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如投标人提交的投标文件商务条款及合同条款与招标文件的要求存在偏离，需逐项填写《商务条款偏离表》，完全满足招标文件要求的投标人需应答“完全满足招标文件的全部要求”。</w:t>
      </w:r>
    </w:p>
    <w:p>
      <w:pPr>
        <w:spacing w:line="360" w:lineRule="atLeast"/>
        <w:ind w:firstLine="420" w:firstLineChars="200"/>
        <w:jc w:val="both"/>
        <w:rPr>
          <w:rStyle w:val="20"/>
          <w:rFonts w:hint="eastAsia" w:ascii="宋体" w:hAnsi="宋体" w:eastAsia="宋体" w:cs="宋体"/>
          <w:sz w:val="21"/>
          <w:szCs w:val="21"/>
          <w:lang w:val="en-US" w:eastAsia="zh-CN" w:bidi="ar-SA"/>
        </w:rPr>
      </w:pPr>
    </w:p>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项目名称：</w:t>
      </w:r>
      <w:r>
        <w:rPr>
          <w:rStyle w:val="20"/>
          <w:rFonts w:hint="eastAsia" w:ascii="宋体" w:hAnsi="宋体" w:eastAsia="宋体" w:cs="宋体"/>
          <w:sz w:val="21"/>
          <w:szCs w:val="21"/>
          <w:u w:val="single"/>
          <w:lang w:val="en-US" w:eastAsia="zh-CN" w:bidi="ar-SA"/>
        </w:rPr>
        <w:t xml:space="preserve">                                   </w:t>
      </w:r>
    </w:p>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项目编号：</w:t>
      </w:r>
      <w:r>
        <w:rPr>
          <w:rStyle w:val="20"/>
          <w:rFonts w:hint="eastAsia" w:ascii="宋体" w:hAnsi="宋体" w:eastAsia="宋体" w:cs="宋体"/>
          <w:sz w:val="21"/>
          <w:szCs w:val="21"/>
          <w:u w:val="single"/>
          <w:lang w:val="en-US" w:eastAsia="zh-CN" w:bidi="ar-SA"/>
        </w:rPr>
        <w:t xml:space="preserve">                                   </w:t>
      </w:r>
    </w:p>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投标人名称：</w:t>
      </w:r>
      <w:r>
        <w:rPr>
          <w:rStyle w:val="20"/>
          <w:rFonts w:hint="eastAsia" w:ascii="宋体" w:hAnsi="宋体" w:eastAsia="宋体" w:cs="宋体"/>
          <w:sz w:val="21"/>
          <w:szCs w:val="21"/>
          <w:u w:val="single"/>
          <w:lang w:val="en-US" w:eastAsia="zh-CN" w:bidi="ar-SA"/>
        </w:rPr>
        <w:t xml:space="preserve">                                 </w:t>
      </w:r>
    </w:p>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包号：</w:t>
      </w:r>
      <w:r>
        <w:rPr>
          <w:rStyle w:val="20"/>
          <w:rFonts w:hint="eastAsia" w:ascii="宋体" w:hAnsi="宋体" w:eastAsia="宋体" w:cs="宋体"/>
          <w:sz w:val="21"/>
          <w:szCs w:val="21"/>
          <w:u w:val="single"/>
          <w:lang w:val="en-US" w:eastAsia="zh-CN" w:bidi="ar-SA"/>
        </w:rPr>
        <w:t xml:space="preserve">                                       </w:t>
      </w:r>
    </w:p>
    <w:p>
      <w:pPr>
        <w:spacing w:line="240" w:lineRule="auto"/>
        <w:jc w:val="both"/>
        <w:rPr>
          <w:rStyle w:val="20"/>
          <w:rFonts w:hint="eastAsia" w:ascii="宋体" w:hAnsi="宋体" w:eastAsia="宋体" w:cs="宋体"/>
          <w:sz w:val="21"/>
          <w:szCs w:val="21"/>
          <w:lang w:val="en-US" w:eastAsia="zh-CN" w:bidi="ar-SA"/>
        </w:rPr>
      </w:pPr>
    </w:p>
    <w:tbl>
      <w:tblPr>
        <w:tblStyle w:val="6"/>
        <w:tblW w:w="900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800"/>
        <w:gridCol w:w="2400"/>
        <w:gridCol w:w="2294"/>
        <w:gridCol w:w="1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序号</w:t>
            </w:r>
          </w:p>
        </w:tc>
        <w:tc>
          <w:tcPr>
            <w:tcW w:w="1800"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招标文件条目号</w:t>
            </w:r>
          </w:p>
        </w:tc>
        <w:tc>
          <w:tcPr>
            <w:tcW w:w="2400"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招标文件商务文件要求</w:t>
            </w:r>
          </w:p>
        </w:tc>
        <w:tc>
          <w:tcPr>
            <w:tcW w:w="2294"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投标文件的应答</w:t>
            </w:r>
          </w:p>
        </w:tc>
        <w:tc>
          <w:tcPr>
            <w:tcW w:w="1801"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rPr>
                <w:rStyle w:val="20"/>
                <w:rFonts w:hint="eastAsia" w:ascii="宋体" w:hAnsi="宋体" w:eastAsia="宋体" w:cs="宋体"/>
                <w:sz w:val="21"/>
                <w:szCs w:val="21"/>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rPr>
                <w:rStyle w:val="20"/>
                <w:rFonts w:hint="eastAsia" w:ascii="宋体" w:hAnsi="宋体" w:eastAsia="宋体" w:cs="宋体"/>
                <w:sz w:val="21"/>
                <w:szCs w:val="21"/>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rPr>
                <w:rStyle w:val="20"/>
                <w:rFonts w:hint="eastAsia" w:ascii="宋体" w:hAnsi="宋体" w:eastAsia="宋体" w:cs="宋体"/>
                <w:sz w:val="21"/>
                <w:szCs w:val="21"/>
                <w:lang w:val="en-US" w:eastAsia="zh-CN" w:bidi="ar-SA"/>
              </w:rPr>
            </w:pPr>
          </w:p>
        </w:tc>
        <w:tc>
          <w:tcPr>
            <w:tcW w:w="2294" w:type="dxa"/>
            <w:tcBorders>
              <w:top w:val="single" w:color="000000" w:sz="4" w:space="0"/>
              <w:left w:val="single" w:color="000000" w:sz="4" w:space="0"/>
              <w:bottom w:val="single" w:color="000000" w:sz="4" w:space="0"/>
              <w:right w:val="single" w:color="000000" w:sz="4" w:space="0"/>
            </w:tcBorders>
            <w:vAlign w:val="top"/>
          </w:tcPr>
          <w:p>
            <w:pPr>
              <w:spacing w:line="36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满足/不满足</w:t>
            </w:r>
          </w:p>
        </w:tc>
        <w:tc>
          <w:tcPr>
            <w:tcW w:w="1801"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rPr>
                <w:rStyle w:val="20"/>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08"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rPr>
                <w:rStyle w:val="20"/>
                <w:rFonts w:hint="eastAsia" w:ascii="宋体" w:hAnsi="宋体" w:eastAsia="宋体" w:cs="宋体"/>
                <w:sz w:val="21"/>
                <w:szCs w:val="21"/>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rPr>
                <w:rStyle w:val="20"/>
                <w:rFonts w:hint="eastAsia" w:ascii="宋体" w:hAnsi="宋体" w:eastAsia="宋体" w:cs="宋体"/>
                <w:sz w:val="21"/>
                <w:szCs w:val="21"/>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rPr>
                <w:rStyle w:val="20"/>
                <w:rFonts w:hint="eastAsia" w:ascii="宋体" w:hAnsi="宋体" w:eastAsia="宋体" w:cs="宋体"/>
                <w:sz w:val="21"/>
                <w:szCs w:val="21"/>
                <w:lang w:val="en-US" w:eastAsia="zh-CN" w:bidi="ar-SA"/>
              </w:rPr>
            </w:pPr>
          </w:p>
        </w:tc>
        <w:tc>
          <w:tcPr>
            <w:tcW w:w="2294"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rPr>
                <w:rStyle w:val="20"/>
                <w:rFonts w:hint="eastAsia" w:ascii="宋体" w:hAnsi="宋体" w:eastAsia="宋体" w:cs="宋体"/>
                <w:sz w:val="21"/>
                <w:szCs w:val="21"/>
                <w:lang w:val="en-US" w:eastAsia="zh-CN" w:bidi="ar-SA"/>
              </w:rPr>
            </w:pPr>
          </w:p>
        </w:tc>
        <w:tc>
          <w:tcPr>
            <w:tcW w:w="1801"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rPr>
                <w:rStyle w:val="20"/>
                <w:rFonts w:hint="eastAsia" w:ascii="宋体" w:hAnsi="宋体" w:eastAsia="宋体" w:cs="宋体"/>
                <w:sz w:val="21"/>
                <w:szCs w:val="21"/>
                <w:lang w:val="en-US" w:eastAsia="zh-CN" w:bidi="ar-SA"/>
              </w:rPr>
            </w:pPr>
          </w:p>
        </w:tc>
      </w:tr>
    </w:tbl>
    <w:p>
      <w:pPr>
        <w:spacing w:line="240" w:lineRule="auto"/>
        <w:jc w:val="both"/>
        <w:rPr>
          <w:rStyle w:val="20"/>
          <w:rFonts w:hint="eastAsia" w:ascii="宋体" w:hAnsi="宋体" w:eastAsia="宋体" w:cs="宋体"/>
          <w:sz w:val="21"/>
          <w:szCs w:val="21"/>
          <w:lang w:val="en-US" w:eastAsia="zh-CN" w:bidi="ar-SA"/>
        </w:rPr>
      </w:pPr>
    </w:p>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投标人公章：</w:t>
      </w:r>
    </w:p>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投标人代表签字：</w:t>
      </w:r>
      <w:r>
        <w:rPr>
          <w:rStyle w:val="20"/>
          <w:rFonts w:hint="eastAsia" w:ascii="宋体" w:hAnsi="宋体" w:eastAsia="宋体" w:cs="宋体"/>
          <w:sz w:val="21"/>
          <w:szCs w:val="21"/>
          <w:u w:val="single"/>
          <w:lang w:val="en-US" w:eastAsia="zh-CN" w:bidi="ar-SA"/>
        </w:rPr>
        <w:t xml:space="preserve">                      </w:t>
      </w:r>
    </w:p>
    <w:p>
      <w:pPr>
        <w:spacing w:line="240" w:lineRule="auto"/>
        <w:jc w:val="both"/>
        <w:rPr>
          <w:rStyle w:val="20"/>
          <w:rFonts w:hint="eastAsia" w:ascii="宋体" w:hAnsi="宋体" w:eastAsia="宋体" w:cs="宋体"/>
          <w:sz w:val="21"/>
          <w:szCs w:val="21"/>
          <w:u w:val="single"/>
          <w:lang w:val="en-US" w:eastAsia="zh-CN" w:bidi="ar-SA"/>
        </w:rPr>
      </w:pPr>
      <w:r>
        <w:rPr>
          <w:rStyle w:val="20"/>
          <w:rFonts w:hint="eastAsia" w:ascii="宋体" w:hAnsi="宋体" w:eastAsia="宋体" w:cs="宋体"/>
          <w:sz w:val="21"/>
          <w:szCs w:val="21"/>
          <w:lang w:val="en-US" w:eastAsia="zh-CN" w:bidi="ar-SA"/>
        </w:rPr>
        <w:t>日          期：</w:t>
      </w:r>
      <w:r>
        <w:rPr>
          <w:rStyle w:val="20"/>
          <w:rFonts w:hint="eastAsia" w:ascii="宋体" w:hAnsi="宋体" w:eastAsia="宋体" w:cs="宋体"/>
          <w:sz w:val="21"/>
          <w:szCs w:val="21"/>
          <w:u w:val="single"/>
          <w:lang w:val="en-US" w:eastAsia="zh-CN" w:bidi="ar-SA"/>
        </w:rPr>
        <w:t xml:space="preserve">                      </w:t>
      </w:r>
    </w:p>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注：本表格式可自制，若无商务偏离，请注明。</w:t>
      </w: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szCs w:val="21"/>
        </w:rPr>
        <w:t>投标人认为需要提供的其他商务资料</w:t>
      </w: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rPr>
        <w:t>开标一览表</w:t>
      </w:r>
    </w:p>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项目名称：</w:t>
      </w:r>
      <w:r>
        <w:rPr>
          <w:rStyle w:val="20"/>
          <w:rFonts w:hint="eastAsia" w:ascii="宋体" w:hAnsi="宋体" w:eastAsia="宋体" w:cs="宋体"/>
          <w:sz w:val="21"/>
          <w:szCs w:val="21"/>
          <w:u w:val="single"/>
          <w:lang w:val="en-US" w:eastAsia="zh-CN" w:bidi="ar-SA"/>
        </w:rPr>
        <w:t xml:space="preserve">                                </w:t>
      </w:r>
    </w:p>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项目编号：</w:t>
      </w:r>
      <w:r>
        <w:rPr>
          <w:rStyle w:val="20"/>
          <w:rFonts w:hint="eastAsia" w:ascii="宋体" w:hAnsi="宋体" w:eastAsia="宋体" w:cs="宋体"/>
          <w:sz w:val="21"/>
          <w:szCs w:val="21"/>
          <w:u w:val="single"/>
          <w:lang w:val="en-US" w:eastAsia="zh-CN" w:bidi="ar-SA"/>
        </w:rPr>
        <w:t xml:space="preserve">                                </w:t>
      </w:r>
    </w:p>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投标人名称：</w:t>
      </w:r>
      <w:r>
        <w:rPr>
          <w:rStyle w:val="20"/>
          <w:rFonts w:hint="eastAsia" w:ascii="宋体" w:hAnsi="宋体" w:eastAsia="宋体" w:cs="宋体"/>
          <w:sz w:val="21"/>
          <w:szCs w:val="21"/>
          <w:u w:val="single"/>
          <w:lang w:val="en-US" w:eastAsia="zh-CN" w:bidi="ar-SA"/>
        </w:rPr>
        <w:t xml:space="preserve">                              </w:t>
      </w:r>
    </w:p>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包号：</w:t>
      </w:r>
      <w:r>
        <w:rPr>
          <w:rStyle w:val="20"/>
          <w:rFonts w:hint="eastAsia" w:ascii="宋体" w:hAnsi="宋体" w:eastAsia="宋体" w:cs="宋体"/>
          <w:sz w:val="21"/>
          <w:szCs w:val="21"/>
          <w:u w:val="single"/>
          <w:lang w:val="en-US" w:eastAsia="zh-CN" w:bidi="ar-SA"/>
        </w:rPr>
        <w:t xml:space="preserve">（以包为单位分别填报）              </w:t>
      </w:r>
      <w:r>
        <w:rPr>
          <w:rStyle w:val="20"/>
          <w:rFonts w:hint="eastAsia" w:ascii="宋体" w:hAnsi="宋体" w:eastAsia="宋体" w:cs="宋体"/>
          <w:sz w:val="21"/>
          <w:szCs w:val="21"/>
          <w:lang w:val="en-US" w:eastAsia="zh-CN" w:bidi="ar-SA"/>
        </w:rPr>
        <w:t xml:space="preserve"> </w:t>
      </w:r>
    </w:p>
    <w:p>
      <w:pPr>
        <w:spacing w:line="240" w:lineRule="auto"/>
        <w:jc w:val="both"/>
        <w:rPr>
          <w:rStyle w:val="20"/>
          <w:rFonts w:hint="eastAsia" w:ascii="宋体" w:hAnsi="宋体" w:eastAsia="宋体" w:cs="宋体"/>
          <w:sz w:val="21"/>
          <w:szCs w:val="21"/>
          <w:lang w:val="en-US" w:eastAsia="zh-CN" w:bidi="ar-SA"/>
        </w:rPr>
      </w:pPr>
    </w:p>
    <w:tbl>
      <w:tblPr>
        <w:tblStyle w:val="6"/>
        <w:tblW w:w="9003" w:type="dxa"/>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3"/>
        <w:gridCol w:w="1113"/>
        <w:gridCol w:w="1296"/>
        <w:gridCol w:w="1113"/>
        <w:gridCol w:w="1428"/>
        <w:gridCol w:w="1426"/>
        <w:gridCol w:w="1424"/>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PrEx>
        <w:trPr>
          <w:cantSplit/>
        </w:trPr>
        <w:tc>
          <w:tcPr>
            <w:tcW w:w="1203" w:type="dxa"/>
            <w:tcBorders>
              <w:top w:val="double" w:color="000000" w:sz="4" w:space="0"/>
              <w:left w:val="doub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包号/品目号</w:t>
            </w:r>
          </w:p>
        </w:tc>
        <w:tc>
          <w:tcPr>
            <w:tcW w:w="1113" w:type="dxa"/>
            <w:tcBorders>
              <w:top w:val="doub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设备名称</w:t>
            </w:r>
          </w:p>
        </w:tc>
        <w:tc>
          <w:tcPr>
            <w:tcW w:w="1296" w:type="dxa"/>
            <w:tcBorders>
              <w:top w:val="doub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规格和型号</w:t>
            </w:r>
          </w:p>
        </w:tc>
        <w:tc>
          <w:tcPr>
            <w:tcW w:w="1113" w:type="dxa"/>
            <w:tcBorders>
              <w:top w:val="doub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制造商名称和国籍</w:t>
            </w:r>
          </w:p>
        </w:tc>
        <w:tc>
          <w:tcPr>
            <w:tcW w:w="1428" w:type="dxa"/>
            <w:tcBorders>
              <w:top w:val="doub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投标价</w:t>
            </w:r>
          </w:p>
        </w:tc>
        <w:tc>
          <w:tcPr>
            <w:tcW w:w="1426" w:type="dxa"/>
            <w:tcBorders>
              <w:top w:val="doub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投标保证金(人民币)</w:t>
            </w:r>
          </w:p>
        </w:tc>
        <w:tc>
          <w:tcPr>
            <w:tcW w:w="1424" w:type="dxa"/>
            <w:tcBorders>
              <w:top w:val="double" w:color="000000" w:sz="4" w:space="0"/>
              <w:left w:val="single" w:color="000000" w:sz="4" w:space="0"/>
              <w:bottom w:val="single" w:color="000000" w:sz="4" w:space="0"/>
              <w:right w:val="doub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01" w:hRule="atLeast"/>
        </w:trPr>
        <w:tc>
          <w:tcPr>
            <w:tcW w:w="1203" w:type="dxa"/>
            <w:tcBorders>
              <w:top w:val="single" w:color="000000" w:sz="4" w:space="0"/>
              <w:left w:val="doub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11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29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11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rPr>
                <w:rStyle w:val="20"/>
                <w:rFonts w:hint="eastAsia" w:ascii="宋体" w:hAnsi="宋体" w:eastAsia="宋体" w:cs="宋体"/>
                <w:sz w:val="21"/>
                <w:szCs w:val="21"/>
                <w:lang w:val="en-US" w:eastAsia="zh-CN" w:bidi="ar-SA"/>
              </w:rPr>
            </w:pPr>
          </w:p>
        </w:tc>
        <w:tc>
          <w:tcPr>
            <w:tcW w:w="1424" w:type="dxa"/>
            <w:tcBorders>
              <w:top w:val="single" w:color="000000" w:sz="4" w:space="0"/>
              <w:left w:val="single" w:color="000000" w:sz="4" w:space="0"/>
              <w:bottom w:val="single" w:color="000000" w:sz="4" w:space="0"/>
              <w:right w:val="doub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01" w:hRule="atLeast"/>
        </w:trPr>
        <w:tc>
          <w:tcPr>
            <w:tcW w:w="1203" w:type="dxa"/>
            <w:tcBorders>
              <w:top w:val="single" w:color="000000" w:sz="4" w:space="0"/>
              <w:left w:val="doub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11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29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11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rPr>
                <w:rStyle w:val="20"/>
                <w:rFonts w:hint="eastAsia" w:ascii="宋体" w:hAnsi="宋体" w:eastAsia="宋体" w:cs="宋体"/>
                <w:sz w:val="21"/>
                <w:szCs w:val="21"/>
                <w:lang w:val="en-US" w:eastAsia="zh-CN" w:bidi="ar-SA"/>
              </w:rPr>
            </w:pPr>
          </w:p>
        </w:tc>
        <w:tc>
          <w:tcPr>
            <w:tcW w:w="1424" w:type="dxa"/>
            <w:tcBorders>
              <w:top w:val="single" w:color="000000" w:sz="4" w:space="0"/>
              <w:left w:val="single" w:color="000000" w:sz="4" w:space="0"/>
              <w:bottom w:val="single" w:color="000000" w:sz="4" w:space="0"/>
              <w:right w:val="doub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25" w:hRule="atLeast"/>
        </w:trPr>
        <w:tc>
          <w:tcPr>
            <w:tcW w:w="1203" w:type="dxa"/>
            <w:tcBorders>
              <w:top w:val="single" w:color="000000" w:sz="4" w:space="0"/>
              <w:left w:val="doub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11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29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11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42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vAlign w:val="top"/>
          </w:tcPr>
          <w:p>
            <w:pPr>
              <w:spacing w:line="240" w:lineRule="auto"/>
              <w:jc w:val="both"/>
              <w:rPr>
                <w:rStyle w:val="20"/>
                <w:rFonts w:hint="eastAsia" w:ascii="宋体" w:hAnsi="宋体" w:eastAsia="宋体" w:cs="宋体"/>
                <w:sz w:val="21"/>
                <w:szCs w:val="21"/>
                <w:lang w:val="en-US" w:eastAsia="zh-CN" w:bidi="ar-SA"/>
              </w:rPr>
            </w:pPr>
          </w:p>
        </w:tc>
        <w:tc>
          <w:tcPr>
            <w:tcW w:w="1424" w:type="dxa"/>
            <w:tcBorders>
              <w:top w:val="single" w:color="000000" w:sz="4" w:space="0"/>
              <w:left w:val="single" w:color="000000" w:sz="4" w:space="0"/>
              <w:bottom w:val="single" w:color="000000" w:sz="4" w:space="0"/>
              <w:right w:val="doub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60" w:hRule="atLeast"/>
        </w:trPr>
        <w:tc>
          <w:tcPr>
            <w:tcW w:w="1203" w:type="dxa"/>
            <w:tcBorders>
              <w:top w:val="single" w:color="000000" w:sz="4" w:space="0"/>
              <w:left w:val="double" w:color="000000" w:sz="4" w:space="0"/>
              <w:bottom w:val="doub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总计</w:t>
            </w:r>
          </w:p>
        </w:tc>
        <w:tc>
          <w:tcPr>
            <w:tcW w:w="1113" w:type="dxa"/>
            <w:tcBorders>
              <w:top w:val="single" w:color="000000" w:sz="4" w:space="0"/>
              <w:left w:val="single" w:color="000000" w:sz="4" w:space="0"/>
              <w:bottom w:val="doub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296" w:type="dxa"/>
            <w:tcBorders>
              <w:top w:val="single" w:color="000000" w:sz="4" w:space="0"/>
              <w:left w:val="single" w:color="000000" w:sz="4" w:space="0"/>
              <w:bottom w:val="doub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113" w:type="dxa"/>
            <w:tcBorders>
              <w:top w:val="single" w:color="000000" w:sz="4" w:space="0"/>
              <w:left w:val="single" w:color="000000" w:sz="4" w:space="0"/>
              <w:bottom w:val="doub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428" w:type="dxa"/>
            <w:tcBorders>
              <w:top w:val="single" w:color="000000" w:sz="4" w:space="0"/>
              <w:left w:val="single" w:color="000000" w:sz="4" w:space="0"/>
              <w:bottom w:val="double" w:color="000000" w:sz="4" w:space="0"/>
              <w:right w:val="sing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c>
          <w:tcPr>
            <w:tcW w:w="1426" w:type="dxa"/>
            <w:tcBorders>
              <w:top w:val="single" w:color="000000" w:sz="4" w:space="0"/>
              <w:left w:val="single" w:color="000000" w:sz="4" w:space="0"/>
              <w:bottom w:val="double" w:color="000000" w:sz="4" w:space="0"/>
              <w:right w:val="single" w:color="000000" w:sz="4" w:space="0"/>
            </w:tcBorders>
            <w:vAlign w:val="top"/>
          </w:tcPr>
          <w:p>
            <w:pPr>
              <w:spacing w:line="240" w:lineRule="auto"/>
              <w:jc w:val="both"/>
              <w:rPr>
                <w:rStyle w:val="20"/>
                <w:rFonts w:hint="eastAsia" w:ascii="宋体" w:hAnsi="宋体" w:eastAsia="宋体" w:cs="宋体"/>
                <w:sz w:val="21"/>
                <w:szCs w:val="21"/>
                <w:lang w:val="en-US" w:eastAsia="zh-CN" w:bidi="ar-SA"/>
              </w:rPr>
            </w:pPr>
          </w:p>
        </w:tc>
        <w:tc>
          <w:tcPr>
            <w:tcW w:w="1424" w:type="dxa"/>
            <w:tcBorders>
              <w:top w:val="single" w:color="000000" w:sz="4" w:space="0"/>
              <w:left w:val="single" w:color="000000" w:sz="4" w:space="0"/>
              <w:bottom w:val="double" w:color="000000" w:sz="4" w:space="0"/>
              <w:right w:val="double" w:color="000000" w:sz="4" w:space="0"/>
            </w:tcBorders>
            <w:vAlign w:val="center"/>
          </w:tcPr>
          <w:p>
            <w:pPr>
              <w:spacing w:line="240" w:lineRule="auto"/>
              <w:jc w:val="both"/>
              <w:rPr>
                <w:rStyle w:val="20"/>
                <w:rFonts w:hint="eastAsia" w:ascii="宋体" w:hAnsi="宋体" w:eastAsia="宋体" w:cs="宋体"/>
                <w:sz w:val="21"/>
                <w:szCs w:val="21"/>
                <w:lang w:val="en-US" w:eastAsia="zh-CN" w:bidi="ar-SA"/>
              </w:rPr>
            </w:pPr>
          </w:p>
        </w:tc>
      </w:tr>
    </w:tbl>
    <w:p>
      <w:pPr>
        <w:spacing w:line="240" w:lineRule="auto"/>
        <w:jc w:val="both"/>
        <w:rPr>
          <w:rStyle w:val="20"/>
          <w:rFonts w:hint="eastAsia" w:ascii="宋体" w:hAnsi="宋体" w:eastAsia="宋体" w:cs="宋体"/>
          <w:sz w:val="21"/>
          <w:szCs w:val="21"/>
          <w:lang w:val="en-US" w:eastAsia="zh-CN" w:bidi="ar-SA"/>
        </w:rPr>
      </w:pPr>
    </w:p>
    <w:tbl>
      <w:tblPr>
        <w:tblStyle w:val="6"/>
        <w:tblW w:w="7035" w:type="dxa"/>
        <w:tblInd w:w="31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570"/>
        <w:gridCol w:w="346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555" w:hRule="atLeast"/>
        </w:trPr>
        <w:tc>
          <w:tcPr>
            <w:tcW w:w="3570" w:type="dxa"/>
            <w:tcBorders>
              <w:top w:val="nil"/>
              <w:left w:val="nil"/>
              <w:bottom w:val="nil"/>
              <w:right w:val="nil"/>
            </w:tcBorders>
            <w:vAlign w:val="top"/>
          </w:tcPr>
          <w:p>
            <w:pPr>
              <w:spacing w:line="240" w:lineRule="auto"/>
              <w:jc w:val="both"/>
              <w:rPr>
                <w:rStyle w:val="20"/>
                <w:rFonts w:hint="eastAsia" w:ascii="宋体" w:hAnsi="宋体" w:eastAsia="宋体" w:cs="宋体"/>
                <w:sz w:val="21"/>
                <w:szCs w:val="21"/>
                <w:lang w:val="en-US" w:eastAsia="zh-CN" w:bidi="ar-SA"/>
              </w:rPr>
            </w:pPr>
          </w:p>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投标价格大写金额:</w:t>
            </w:r>
          </w:p>
        </w:tc>
        <w:tc>
          <w:tcPr>
            <w:tcW w:w="3465" w:type="dxa"/>
            <w:tcBorders>
              <w:top w:val="nil"/>
              <w:left w:val="nil"/>
              <w:bottom w:val="single" w:color="000000" w:sz="4" w:space="0"/>
              <w:right w:val="nil"/>
            </w:tcBorders>
            <w:vAlign w:val="top"/>
          </w:tcPr>
          <w:p>
            <w:pPr>
              <w:spacing w:line="240" w:lineRule="auto"/>
              <w:jc w:val="both"/>
              <w:rPr>
                <w:rStyle w:val="20"/>
                <w:rFonts w:hint="eastAsia" w:ascii="宋体" w:hAnsi="宋体" w:eastAsia="宋体" w:cs="宋体"/>
                <w:sz w:val="21"/>
                <w:szCs w:val="21"/>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555" w:hRule="atLeast"/>
        </w:trPr>
        <w:tc>
          <w:tcPr>
            <w:tcW w:w="3570" w:type="dxa"/>
            <w:tcBorders>
              <w:top w:val="nil"/>
              <w:left w:val="nil"/>
              <w:bottom w:val="nil"/>
              <w:right w:val="nil"/>
            </w:tcBorders>
            <w:vAlign w:val="top"/>
          </w:tcPr>
          <w:p>
            <w:pPr>
              <w:spacing w:line="240" w:lineRule="auto"/>
              <w:jc w:val="both"/>
              <w:rPr>
                <w:rStyle w:val="20"/>
                <w:rFonts w:hint="eastAsia" w:ascii="宋体" w:hAnsi="宋体" w:eastAsia="宋体" w:cs="宋体"/>
                <w:sz w:val="21"/>
                <w:szCs w:val="21"/>
                <w:lang w:val="en-US" w:eastAsia="zh-CN" w:bidi="ar-SA"/>
              </w:rPr>
            </w:pPr>
          </w:p>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投标人代表签字（加盖公章）：</w:t>
            </w:r>
          </w:p>
        </w:tc>
        <w:tc>
          <w:tcPr>
            <w:tcW w:w="3465" w:type="dxa"/>
            <w:tcBorders>
              <w:top w:val="single" w:color="000000" w:sz="4" w:space="0"/>
              <w:left w:val="nil"/>
              <w:bottom w:val="single" w:color="000000" w:sz="4" w:space="0"/>
              <w:right w:val="nil"/>
            </w:tcBorders>
            <w:vAlign w:val="top"/>
          </w:tcPr>
          <w:p>
            <w:pPr>
              <w:spacing w:line="240" w:lineRule="auto"/>
              <w:jc w:val="both"/>
              <w:rPr>
                <w:rStyle w:val="20"/>
                <w:rFonts w:hint="eastAsia" w:ascii="宋体" w:hAnsi="宋体" w:eastAsia="宋体" w:cs="宋体"/>
                <w:sz w:val="21"/>
                <w:szCs w:val="21"/>
                <w:lang w:val="en-US" w:eastAsia="zh-CN" w:bidi="ar-SA"/>
              </w:rPr>
            </w:pPr>
          </w:p>
        </w:tc>
      </w:tr>
    </w:tbl>
    <w:p>
      <w:pPr>
        <w:spacing w:line="240" w:lineRule="auto"/>
        <w:jc w:val="both"/>
        <w:rPr>
          <w:rStyle w:val="20"/>
          <w:rFonts w:hint="eastAsia" w:ascii="宋体" w:hAnsi="宋体" w:eastAsia="宋体" w:cs="宋体"/>
          <w:sz w:val="21"/>
          <w:szCs w:val="21"/>
          <w:lang w:val="en-US" w:eastAsia="zh-CN" w:bidi="ar-SA"/>
        </w:rPr>
      </w:pP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注：1.此表应按投标人须知的规定密封标记单独提交。</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2.如有折扣，请具体说明。</w:t>
      </w:r>
    </w:p>
    <w:p>
      <w:pPr>
        <w:spacing w:line="240" w:lineRule="auto"/>
        <w:jc w:val="both"/>
        <w:rPr>
          <w:rStyle w:val="20"/>
          <w:rFonts w:hint="eastAsia" w:ascii="宋体" w:hAnsi="宋体" w:eastAsia="宋体" w:cs="宋体"/>
          <w:sz w:val="21"/>
          <w:szCs w:val="21"/>
          <w:lang w:val="en-US" w:eastAsia="zh-CN" w:bidi="ar-SA"/>
        </w:rPr>
      </w:pPr>
    </w:p>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投标人代表签字：                           </w:t>
      </w:r>
    </w:p>
    <w:p>
      <w:pPr>
        <w:spacing w:line="240" w:lineRule="auto"/>
        <w:jc w:val="both"/>
        <w:rPr>
          <w:rStyle w:val="20"/>
          <w:rFonts w:hint="eastAsia" w:ascii="宋体" w:hAnsi="宋体" w:eastAsia="宋体" w:cs="宋体"/>
          <w:sz w:val="21"/>
          <w:szCs w:val="21"/>
          <w:lang w:val="en-US" w:eastAsia="zh-CN" w:bidi="ar-SA"/>
        </w:rPr>
      </w:pPr>
    </w:p>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投标人（盖章）：                            </w:t>
      </w:r>
    </w:p>
    <w:p>
      <w:pPr>
        <w:spacing w:line="240" w:lineRule="auto"/>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注：各项货物详细性能应另附页描述。</w:t>
      </w: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rPr>
        <w:t>投标保证金保函(格式)</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致：北京大学医学部</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1、保证金额（大写）              元，以支票/汇款方式支付。</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2、在担保期内，贵方根据下列事实中的任何一点，即可无条件地扣留保证金。</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a.在开标之日后到投标有效期满前，投标人撤回投标；或</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b.在收到中标通知后3天内，投标人未能按中标通知书规定的时间、地点与买方签订合同； </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c.投标人有严重违反招标法律、法规和政府采购管理办法禁止的行为的。</w:t>
      </w:r>
    </w:p>
    <w:p>
      <w:pPr>
        <w:spacing w:line="240" w:lineRule="atLeast"/>
        <w:rPr>
          <w:rStyle w:val="20"/>
          <w:rFonts w:hint="eastAsia" w:ascii="宋体" w:hAnsi="宋体" w:eastAsia="宋体" w:cs="宋体"/>
          <w:sz w:val="21"/>
          <w:szCs w:val="21"/>
          <w:lang w:val="en-US" w:eastAsia="zh-CN" w:bidi="ar-SA"/>
        </w:rPr>
      </w:pP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3、保证金自开标之日起生效，直到投标书有效期后90天或贵方与我方书面协议的延长期后90天内有效。</w:t>
      </w:r>
    </w:p>
    <w:p>
      <w:pPr>
        <w:spacing w:line="240" w:lineRule="atLeast"/>
        <w:rPr>
          <w:rStyle w:val="20"/>
          <w:rFonts w:hint="eastAsia" w:ascii="宋体" w:hAnsi="宋体" w:eastAsia="宋体" w:cs="宋体"/>
          <w:sz w:val="21"/>
          <w:szCs w:val="21"/>
          <w:lang w:val="en-US" w:eastAsia="zh-CN" w:bidi="ar-SA"/>
        </w:rPr>
      </w:pP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4、请贵方于本保证金有效期满后30天内将保证金退还我方，汇款信息如下：</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户名：</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开户银行：</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账号： </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w:t>
      </w:r>
    </w:p>
    <w:p>
      <w:pPr>
        <w:spacing w:line="240" w:lineRule="atLeast"/>
        <w:rPr>
          <w:rStyle w:val="20"/>
          <w:rFonts w:hint="eastAsia" w:ascii="宋体" w:hAnsi="宋体" w:eastAsia="宋体" w:cs="宋体"/>
          <w:sz w:val="21"/>
          <w:szCs w:val="21"/>
          <w:lang w:val="en-US" w:eastAsia="zh-CN" w:bidi="ar-SA"/>
        </w:rPr>
      </w:pP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投标人名称：</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授权代表姓名、职务：</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日期：</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（公章）                   （签字）</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地址：______________________      ________________________</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传真：______________________      签字：__________________</w:t>
      </w:r>
    </w:p>
    <w:p>
      <w:pPr>
        <w:spacing w:line="24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邮编：______________________      电话：                  </w:t>
      </w: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rPr>
        <w:t>投标产品技术规范偏离表</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项目名称：</w:t>
      </w:r>
      <w:r>
        <w:rPr>
          <w:rStyle w:val="20"/>
          <w:rFonts w:hint="eastAsia" w:ascii="宋体" w:hAnsi="宋体" w:eastAsia="宋体" w:cs="宋体"/>
          <w:sz w:val="21"/>
          <w:szCs w:val="21"/>
          <w:u w:val="single"/>
          <w:lang w:val="en-US" w:eastAsia="zh-CN" w:bidi="ar-SA"/>
        </w:rPr>
        <w:t xml:space="preserve">                                </w:t>
      </w:r>
      <w:r>
        <w:rPr>
          <w:rStyle w:val="20"/>
          <w:rFonts w:hint="eastAsia" w:ascii="宋体" w:hAnsi="宋体" w:eastAsia="宋体" w:cs="宋体"/>
          <w:sz w:val="21"/>
          <w:szCs w:val="21"/>
          <w:lang w:val="en-US" w:eastAsia="zh-CN" w:bidi="ar-SA"/>
        </w:rPr>
        <w:t xml:space="preserve">  </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项目编号：</w:t>
      </w:r>
      <w:r>
        <w:rPr>
          <w:rStyle w:val="20"/>
          <w:rFonts w:hint="eastAsia" w:ascii="宋体" w:hAnsi="宋体" w:eastAsia="宋体" w:cs="宋体"/>
          <w:sz w:val="21"/>
          <w:szCs w:val="21"/>
          <w:u w:val="single"/>
          <w:lang w:val="en-US" w:eastAsia="zh-CN" w:bidi="ar-SA"/>
        </w:rPr>
        <w:t xml:space="preserve">                                </w:t>
      </w:r>
    </w:p>
    <w:p>
      <w:pPr>
        <w:spacing w:line="360" w:lineRule="atLeast"/>
        <w:rPr>
          <w:rStyle w:val="20"/>
          <w:rFonts w:hint="eastAsia" w:ascii="宋体" w:hAnsi="宋体" w:eastAsia="宋体" w:cs="宋体"/>
          <w:sz w:val="21"/>
          <w:szCs w:val="21"/>
          <w:u w:val="single"/>
          <w:lang w:val="en-US" w:eastAsia="zh-CN" w:bidi="ar-SA"/>
        </w:rPr>
      </w:pPr>
      <w:r>
        <w:rPr>
          <w:rStyle w:val="20"/>
          <w:rFonts w:hint="eastAsia" w:ascii="宋体" w:hAnsi="宋体" w:eastAsia="宋体" w:cs="宋体"/>
          <w:sz w:val="21"/>
          <w:szCs w:val="21"/>
          <w:lang w:val="en-US" w:eastAsia="zh-CN" w:bidi="ar-SA"/>
        </w:rPr>
        <w:t xml:space="preserve">投标人名称：  </w:t>
      </w:r>
      <w:r>
        <w:rPr>
          <w:rStyle w:val="20"/>
          <w:rFonts w:hint="eastAsia" w:ascii="宋体" w:hAnsi="宋体" w:eastAsia="宋体" w:cs="宋体"/>
          <w:sz w:val="21"/>
          <w:szCs w:val="21"/>
          <w:u w:val="single"/>
          <w:lang w:val="en-US" w:eastAsia="zh-CN" w:bidi="ar-SA"/>
        </w:rPr>
        <w:t xml:space="preserve">                            </w:t>
      </w:r>
    </w:p>
    <w:p>
      <w:pPr>
        <w:spacing w:line="360" w:lineRule="atLeast"/>
        <w:rPr>
          <w:rStyle w:val="20"/>
          <w:rFonts w:hint="eastAsia" w:ascii="宋体" w:hAnsi="宋体" w:eastAsia="宋体" w:cs="宋体"/>
          <w:sz w:val="21"/>
          <w:szCs w:val="21"/>
          <w:u w:val="single"/>
          <w:lang w:val="en-US" w:eastAsia="zh-CN" w:bidi="ar-SA"/>
        </w:rPr>
      </w:pPr>
      <w:r>
        <w:rPr>
          <w:rStyle w:val="20"/>
          <w:rFonts w:hint="eastAsia" w:ascii="宋体" w:hAnsi="宋体" w:eastAsia="宋体" w:cs="宋体"/>
          <w:sz w:val="21"/>
          <w:szCs w:val="21"/>
          <w:lang w:val="en-US" w:eastAsia="zh-CN" w:bidi="ar-SA"/>
        </w:rPr>
        <w:t>包号：</w:t>
      </w:r>
      <w:r>
        <w:rPr>
          <w:rStyle w:val="20"/>
          <w:rFonts w:hint="eastAsia" w:ascii="宋体" w:hAnsi="宋体" w:eastAsia="宋体" w:cs="宋体"/>
          <w:sz w:val="21"/>
          <w:szCs w:val="21"/>
          <w:u w:val="single"/>
          <w:lang w:val="en-US" w:eastAsia="zh-CN" w:bidi="ar-SA"/>
        </w:rPr>
        <w:t xml:space="preserve">（以包为单位分别填报）               </w:t>
      </w:r>
    </w:p>
    <w:p>
      <w:pPr>
        <w:spacing w:line="360" w:lineRule="atLeast"/>
        <w:rPr>
          <w:rStyle w:val="20"/>
          <w:rFonts w:hint="eastAsia" w:ascii="宋体" w:hAnsi="宋体" w:eastAsia="宋体" w:cs="宋体"/>
          <w:sz w:val="24"/>
          <w:lang w:val="en-US" w:eastAsia="zh-CN" w:bidi="ar-SA"/>
        </w:rPr>
      </w:pPr>
    </w:p>
    <w:tbl>
      <w:tblPr>
        <w:tblStyle w:val="6"/>
        <w:tblW w:w="908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6"/>
        <w:gridCol w:w="1802"/>
        <w:gridCol w:w="719"/>
        <w:gridCol w:w="1917"/>
        <w:gridCol w:w="2037"/>
        <w:gridCol w:w="993"/>
        <w:gridCol w:w="9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trPr>
        <w:tc>
          <w:tcPr>
            <w:tcW w:w="626" w:type="dxa"/>
            <w:tcBorders>
              <w:top w:val="single" w:color="000000" w:sz="6" w:space="0"/>
              <w:left w:val="single" w:color="000000" w:sz="6" w:space="0"/>
              <w:bottom w:val="single" w:color="000000" w:sz="6" w:space="0"/>
              <w:right w:val="single" w:color="000000" w:sz="6" w:space="0"/>
            </w:tcBorders>
            <w:vAlign w:val="center"/>
          </w:tcPr>
          <w:p>
            <w:pPr>
              <w:spacing w:before="120" w:line="44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包号</w:t>
            </w:r>
          </w:p>
        </w:tc>
        <w:tc>
          <w:tcPr>
            <w:tcW w:w="1802" w:type="dxa"/>
            <w:tcBorders>
              <w:top w:val="single" w:color="000000" w:sz="6" w:space="0"/>
              <w:left w:val="single" w:color="000000" w:sz="6" w:space="0"/>
              <w:bottom w:val="single" w:color="000000" w:sz="6" w:space="0"/>
              <w:right w:val="single" w:color="000000" w:sz="6" w:space="0"/>
            </w:tcBorders>
            <w:vAlign w:val="center"/>
          </w:tcPr>
          <w:p>
            <w:pPr>
              <w:spacing w:before="120" w:line="44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货物名称及品目号</w:t>
            </w:r>
          </w:p>
        </w:tc>
        <w:tc>
          <w:tcPr>
            <w:tcW w:w="719" w:type="dxa"/>
            <w:tcBorders>
              <w:top w:val="single" w:color="000000" w:sz="6" w:space="0"/>
              <w:left w:val="single" w:color="000000" w:sz="6" w:space="0"/>
              <w:bottom w:val="single" w:color="000000" w:sz="6" w:space="0"/>
              <w:right w:val="single" w:color="000000" w:sz="6" w:space="0"/>
            </w:tcBorders>
            <w:vAlign w:val="center"/>
          </w:tcPr>
          <w:p>
            <w:pPr>
              <w:spacing w:before="120" w:line="44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数量</w:t>
            </w:r>
          </w:p>
        </w:tc>
        <w:tc>
          <w:tcPr>
            <w:tcW w:w="1917"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招标文件技术</w:t>
            </w:r>
          </w:p>
          <w:p>
            <w:pPr>
              <w:spacing w:line="36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规范、要求</w:t>
            </w:r>
          </w:p>
        </w:tc>
        <w:tc>
          <w:tcPr>
            <w:tcW w:w="2037"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投标文件</w:t>
            </w:r>
          </w:p>
          <w:p>
            <w:pPr>
              <w:spacing w:line="36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对应规范</w:t>
            </w:r>
          </w:p>
        </w:tc>
        <w:tc>
          <w:tcPr>
            <w:tcW w:w="993" w:type="dxa"/>
            <w:tcBorders>
              <w:top w:val="single" w:color="000000" w:sz="6" w:space="0"/>
              <w:left w:val="single" w:color="000000" w:sz="6" w:space="0"/>
              <w:bottom w:val="single" w:color="000000" w:sz="6" w:space="0"/>
              <w:right w:val="single" w:color="000000" w:sz="6" w:space="0"/>
            </w:tcBorders>
            <w:vAlign w:val="center"/>
          </w:tcPr>
          <w:p>
            <w:pPr>
              <w:spacing w:before="120" w:line="44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偏差</w:t>
            </w:r>
          </w:p>
        </w:tc>
        <w:tc>
          <w:tcPr>
            <w:tcW w:w="993" w:type="dxa"/>
            <w:tcBorders>
              <w:top w:val="single" w:color="000000" w:sz="6" w:space="0"/>
              <w:left w:val="single" w:color="000000" w:sz="6" w:space="0"/>
              <w:bottom w:val="single" w:color="000000" w:sz="6" w:space="0"/>
              <w:right w:val="single" w:color="000000" w:sz="6" w:space="0"/>
            </w:tcBorders>
            <w:vAlign w:val="center"/>
          </w:tcPr>
          <w:p>
            <w:pPr>
              <w:spacing w:before="120" w:line="440" w:lineRule="atLeast"/>
              <w:jc w:val="center"/>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trPr>
        <w:tc>
          <w:tcPr>
            <w:tcW w:w="626"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1802"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719"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1917"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993"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993"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trPr>
        <w:tc>
          <w:tcPr>
            <w:tcW w:w="626"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1802"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719" w:type="dxa"/>
            <w:tcBorders>
              <w:top w:val="single" w:color="000000" w:sz="6" w:space="0"/>
              <w:left w:val="single" w:color="000000" w:sz="6" w:space="0"/>
              <w:bottom w:val="single" w:color="000000" w:sz="6" w:space="0"/>
              <w:right w:val="single" w:color="000000" w:sz="6" w:space="0"/>
            </w:tcBorders>
            <w:vAlign w:val="top"/>
          </w:tcPr>
          <w:p>
            <w:pPr>
              <w:pStyle w:val="58"/>
              <w:widowControl/>
              <w:spacing w:line="360" w:lineRule="atLeast"/>
              <w:rPr>
                <w:rStyle w:val="20"/>
                <w:rFonts w:hint="eastAsia" w:ascii="宋体" w:hAnsi="宋体" w:eastAsia="宋体" w:cs="宋体"/>
                <w:sz w:val="21"/>
                <w:szCs w:val="21"/>
                <w:lang w:val="en-US" w:eastAsia="zh-CN" w:bidi="ar-SA"/>
              </w:rPr>
            </w:pPr>
          </w:p>
        </w:tc>
        <w:tc>
          <w:tcPr>
            <w:tcW w:w="1917"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993"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993"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trPr>
        <w:tc>
          <w:tcPr>
            <w:tcW w:w="626"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1802"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719"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1917"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993"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993"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trPr>
        <w:tc>
          <w:tcPr>
            <w:tcW w:w="626"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1802"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719"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1917"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993"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c>
          <w:tcPr>
            <w:tcW w:w="993" w:type="dxa"/>
            <w:tcBorders>
              <w:top w:val="single" w:color="000000" w:sz="6" w:space="0"/>
              <w:left w:val="single" w:color="000000" w:sz="6" w:space="0"/>
              <w:bottom w:val="single" w:color="000000" w:sz="6" w:space="0"/>
              <w:right w:val="single" w:color="000000" w:sz="6" w:space="0"/>
            </w:tcBorders>
            <w:vAlign w:val="top"/>
          </w:tcPr>
          <w:p>
            <w:pPr>
              <w:spacing w:line="360" w:lineRule="atLeast"/>
              <w:rPr>
                <w:rStyle w:val="20"/>
                <w:rFonts w:hint="eastAsia" w:ascii="宋体" w:hAnsi="宋体" w:eastAsia="宋体" w:cs="宋体"/>
                <w:sz w:val="21"/>
                <w:szCs w:val="21"/>
                <w:lang w:val="en-US" w:eastAsia="zh-CN" w:bidi="ar-SA"/>
              </w:rPr>
            </w:pPr>
          </w:p>
        </w:tc>
      </w:tr>
    </w:tbl>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投标人(公章) :</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投标人代表(签字或盖章) :</w:t>
      </w:r>
    </w:p>
    <w:p>
      <w:pPr>
        <w:spacing w:line="360" w:lineRule="atLeast"/>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日</w:t>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 xml:space="preserve"> 期：</w:t>
      </w:r>
    </w:p>
    <w:p>
      <w:pPr>
        <w:spacing w:line="360" w:lineRule="atLeast"/>
        <w:rPr>
          <w:rStyle w:val="20"/>
          <w:rFonts w:hint="eastAsia" w:ascii="宋体" w:hAnsi="宋体" w:eastAsia="宋体" w:cs="宋体"/>
          <w:sz w:val="21"/>
          <w:szCs w:val="21"/>
          <w:lang w:val="en-US" w:eastAsia="zh-CN" w:bidi="ar-SA"/>
        </w:rPr>
      </w:pP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rPr>
        <w:t>投标人自行编写的技术文件</w:t>
      </w:r>
    </w:p>
    <w:p>
      <w:pPr>
        <w:spacing w:line="360" w:lineRule="atLeast"/>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按</w:t>
      </w:r>
      <w:r>
        <w:rPr>
          <w:rStyle w:val="20"/>
          <w:rFonts w:hint="eastAsia" w:ascii="宋体" w:hAnsi="宋体" w:eastAsia="宋体" w:cs="宋体"/>
          <w:sz w:val="21"/>
          <w:szCs w:val="21"/>
          <w:u w:val="single"/>
          <w:lang w:val="en-US" w:eastAsia="zh-CN" w:bidi="ar-SA"/>
        </w:rPr>
        <w:t>投标人须知第9条</w:t>
      </w:r>
      <w:r>
        <w:rPr>
          <w:rStyle w:val="20"/>
          <w:rFonts w:hint="eastAsia" w:ascii="宋体" w:hAnsi="宋体" w:eastAsia="宋体" w:cs="宋体"/>
          <w:sz w:val="21"/>
          <w:szCs w:val="21"/>
          <w:lang w:val="en-US" w:eastAsia="zh-CN" w:bidi="ar-SA"/>
        </w:rPr>
        <w:t>规定以及招标文件“招标货物清单、质量要求和供货”部分中的要求自行编写。详尽、易于理解、评审和富于建设性的技术方案将在评标时具有优势。</w:t>
      </w:r>
    </w:p>
    <w:p>
      <w:pPr>
        <w:spacing w:line="360" w:lineRule="atLeast"/>
        <w:rPr>
          <w:rStyle w:val="20"/>
          <w:rFonts w:hint="eastAsia" w:ascii="宋体" w:hAnsi="宋体" w:eastAsia="宋体" w:cs="宋体"/>
          <w:sz w:val="21"/>
          <w:szCs w:val="21"/>
          <w:lang w:val="en-US" w:eastAsia="zh-CN" w:bidi="ar-SA"/>
        </w:rPr>
      </w:pP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rPr>
        <w:t>投标货物售后培训、维修和服务方案</w:t>
      </w:r>
    </w:p>
    <w:p>
      <w:pPr>
        <w:spacing w:line="360" w:lineRule="atLeast"/>
        <w:jc w:val="both"/>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w:t>
      </w: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rPr>
        <w:t>售后服务网点明细表</w:t>
      </w:r>
    </w:p>
    <w:p>
      <w:pPr>
        <w:spacing w:line="360" w:lineRule="atLeast"/>
        <w:rPr>
          <w:rStyle w:val="20"/>
          <w:rFonts w:hint="eastAsia" w:ascii="宋体" w:hAnsi="宋体" w:eastAsia="宋体" w:cs="宋体"/>
          <w:bCs/>
          <w:sz w:val="21"/>
          <w:szCs w:val="21"/>
          <w:lang w:val="en-US" w:eastAsia="zh-CN" w:bidi="ar-SA"/>
        </w:rPr>
      </w:pPr>
      <w:r>
        <w:rPr>
          <w:rStyle w:val="20"/>
          <w:rFonts w:hint="eastAsia" w:ascii="宋体" w:hAnsi="宋体" w:eastAsia="宋体" w:cs="宋体"/>
          <w:bCs/>
          <w:sz w:val="21"/>
          <w:szCs w:val="21"/>
          <w:lang w:val="en-US" w:eastAsia="zh-CN" w:bidi="ar-SA"/>
        </w:rPr>
        <w:t>（包括：1、投标人指定的中标后本项目总负责人姓名、职务和详细联系方法，负责有关的咨询查询、签定执行合同、无条件履行售后服务承诺等事务；</w:t>
      </w:r>
    </w:p>
    <w:p>
      <w:pPr>
        <w:numPr>
          <w:ilvl w:val="0"/>
          <w:numId w:val="31"/>
        </w:numPr>
        <w:spacing w:line="360" w:lineRule="atLeast"/>
        <w:ind w:left="840" w:firstLine="0"/>
        <w:rPr>
          <w:rStyle w:val="20"/>
          <w:rFonts w:hint="eastAsia" w:ascii="宋体" w:hAnsi="宋体" w:eastAsia="宋体" w:cs="宋体"/>
          <w:bCs/>
          <w:sz w:val="21"/>
          <w:szCs w:val="21"/>
          <w:lang w:val="en-US" w:eastAsia="zh-CN" w:bidi="ar-SA"/>
        </w:rPr>
      </w:pPr>
      <w:r>
        <w:rPr>
          <w:rStyle w:val="20"/>
          <w:rFonts w:hint="eastAsia" w:ascii="宋体" w:hAnsi="宋体" w:eastAsia="宋体" w:cs="宋体"/>
          <w:bCs/>
          <w:sz w:val="21"/>
          <w:szCs w:val="21"/>
          <w:lang w:val="en-US" w:eastAsia="zh-CN" w:bidi="ar-SA"/>
        </w:rPr>
        <w:t>统一销售热线；</w:t>
      </w:r>
    </w:p>
    <w:p>
      <w:pPr>
        <w:numPr>
          <w:ilvl w:val="0"/>
          <w:numId w:val="31"/>
        </w:numPr>
        <w:spacing w:line="360" w:lineRule="atLeast"/>
        <w:ind w:left="840" w:firstLine="0"/>
        <w:rPr>
          <w:rStyle w:val="20"/>
          <w:rFonts w:hint="eastAsia" w:ascii="宋体" w:hAnsi="宋体" w:eastAsia="宋体" w:cs="宋体"/>
          <w:bCs/>
          <w:sz w:val="21"/>
          <w:szCs w:val="21"/>
          <w:lang w:val="en-US" w:eastAsia="zh-CN" w:bidi="ar-SA"/>
        </w:rPr>
      </w:pPr>
      <w:r>
        <w:rPr>
          <w:rStyle w:val="20"/>
          <w:rFonts w:hint="eastAsia" w:ascii="宋体" w:hAnsi="宋体" w:eastAsia="宋体" w:cs="宋体"/>
          <w:bCs/>
          <w:sz w:val="21"/>
          <w:szCs w:val="21"/>
          <w:lang w:val="en-US" w:eastAsia="zh-CN" w:bidi="ar-SA"/>
        </w:rPr>
        <w:t>销售及售后服务代理网点的详细地址、电话、传真。）</w:t>
      </w:r>
    </w:p>
    <w:p>
      <w:pPr>
        <w:spacing w:line="360" w:lineRule="atLeast"/>
        <w:ind w:left="840"/>
        <w:rPr>
          <w:rStyle w:val="20"/>
          <w:rFonts w:hint="eastAsia" w:ascii="宋体" w:hAnsi="宋体" w:eastAsia="宋体" w:cs="宋体"/>
          <w:bCs/>
          <w:sz w:val="21"/>
          <w:szCs w:val="21"/>
          <w:lang w:val="en-US" w:eastAsia="zh-CN" w:bidi="ar-SA"/>
        </w:rPr>
      </w:pP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rPr>
      </w:pPr>
      <w:r>
        <w:rPr>
          <w:rStyle w:val="20"/>
          <w:rFonts w:hint="eastAsia" w:ascii="宋体" w:hAnsi="宋体" w:eastAsia="宋体" w:cs="宋体"/>
          <w:b/>
          <w:bCs/>
          <w:color w:val="000000"/>
        </w:rPr>
        <w:t>投标货物的保修期声明</w:t>
      </w:r>
    </w:p>
    <w:p>
      <w:pPr>
        <w:pStyle w:val="87"/>
        <w:widowControl/>
        <w:numPr>
          <w:ilvl w:val="1"/>
          <w:numId w:val="27"/>
        </w:numPr>
        <w:tabs>
          <w:tab w:val="bar" w:leader="underscore" w:pos="0"/>
          <w:tab w:val="center" w:pos="420"/>
        </w:tabs>
        <w:spacing w:line="240" w:lineRule="auto"/>
        <w:ind w:left="480" w:hanging="480"/>
        <w:rPr>
          <w:rStyle w:val="20"/>
          <w:rFonts w:hint="eastAsia" w:ascii="宋体" w:hAnsi="宋体" w:eastAsia="宋体" w:cs="宋体"/>
          <w:b/>
          <w:bCs/>
          <w:color w:val="000000"/>
          <w:szCs w:val="21"/>
        </w:rPr>
      </w:pPr>
      <w:r>
        <w:rPr>
          <w:rStyle w:val="20"/>
          <w:rFonts w:hint="eastAsia" w:ascii="宋体" w:hAnsi="宋体" w:eastAsia="宋体" w:cs="宋体"/>
          <w:b/>
          <w:bCs/>
          <w:color w:val="000000"/>
        </w:rPr>
        <w:t>投标人认为需要提供的其他说明和资料</w:t>
      </w:r>
    </w:p>
    <w:p>
      <w:pPr>
        <w:spacing w:line="360" w:lineRule="atLeast"/>
        <w:ind w:firstLine="420" w:firstLineChars="200"/>
        <w:jc w:val="both"/>
        <w:rPr>
          <w:rStyle w:val="20"/>
          <w:rFonts w:hint="eastAsia" w:ascii="宋体" w:hAnsi="宋体" w:eastAsia="宋体" w:cs="宋体"/>
          <w:b/>
          <w:bCs/>
          <w:sz w:val="24"/>
          <w:lang w:val="en-US" w:eastAsia="zh-CN" w:bidi="ar-SA"/>
        </w:rPr>
        <w:sectPr>
          <w:pgSz w:w="11906" w:h="16838"/>
          <w:pgMar w:top="1418" w:right="1418" w:bottom="1418" w:left="1701" w:header="851" w:footer="851" w:gutter="0"/>
          <w:lnNumType w:countBy="0"/>
          <w:cols w:space="720" w:num="1"/>
          <w:vAlign w:val="top"/>
          <w:docGrid w:type="lines" w:linePitch="312" w:charSpace="0"/>
        </w:sectPr>
      </w:pPr>
      <w:r>
        <w:rPr>
          <w:rStyle w:val="20"/>
          <w:rFonts w:hint="eastAsia" w:ascii="宋体" w:hAnsi="宋体" w:eastAsia="宋体" w:cs="宋体"/>
          <w:sz w:val="21"/>
          <w:szCs w:val="21"/>
          <w:lang w:val="en-US" w:eastAsia="zh-CN" w:bidi="ar-SA"/>
        </w:rPr>
        <w:t xml:space="preserve">  </w:t>
      </w:r>
    </w:p>
    <w:p>
      <w:pPr>
        <w:spacing w:line="360" w:lineRule="atLeast"/>
        <w:ind w:left="288" w:firstLine="480" w:firstLineChars="200"/>
        <w:jc w:val="both"/>
        <w:rPr>
          <w:rStyle w:val="20"/>
          <w:rFonts w:hint="eastAsia" w:ascii="宋体" w:hAnsi="宋体" w:eastAsia="宋体" w:cs="宋体"/>
          <w:sz w:val="24"/>
          <w:lang w:val="en-US" w:eastAsia="zh-CN" w:bidi="ar-SA"/>
        </w:rPr>
      </w:pPr>
      <w:r>
        <w:rPr>
          <w:rStyle w:val="20"/>
          <w:rFonts w:hint="eastAsia" w:ascii="宋体" w:hAnsi="宋体" w:eastAsia="宋体" w:cs="宋体"/>
          <w:sz w:val="24"/>
          <w:lang w:val="en-US" w:eastAsia="zh-CN" w:bidi="ar-SA"/>
        </w:rPr>
        <w:t>第八部分 廉洁承诺书</w:t>
      </w:r>
    </w:p>
    <w:p>
      <w:pPr>
        <w:spacing w:line="500" w:lineRule="exact"/>
        <w:jc w:val="center"/>
        <w:rPr>
          <w:rStyle w:val="20"/>
          <w:rFonts w:hint="eastAsia" w:ascii="宋体" w:hAnsi="宋体" w:eastAsia="宋体" w:cs="宋体"/>
          <w:b/>
          <w:sz w:val="24"/>
          <w:szCs w:val="24"/>
          <w:lang w:val="en-US" w:eastAsia="zh-CN" w:bidi="ar-SA"/>
        </w:rPr>
      </w:pPr>
      <w:r>
        <w:rPr>
          <w:rStyle w:val="20"/>
          <w:rFonts w:hint="eastAsia" w:ascii="宋体" w:hAnsi="宋体" w:eastAsia="宋体" w:cs="宋体"/>
          <w:b/>
          <w:sz w:val="24"/>
          <w:szCs w:val="24"/>
          <w:lang w:val="en-US" w:eastAsia="zh-CN" w:bidi="ar-SA"/>
        </w:rPr>
        <w:t>承担北京大学医学部供货项目廉洁承诺书</w:t>
      </w:r>
    </w:p>
    <w:p>
      <w:pPr>
        <w:spacing w:line="360" w:lineRule="atLeast"/>
        <w:rPr>
          <w:rStyle w:val="20"/>
          <w:rFonts w:hint="eastAsia" w:ascii="宋体" w:hAnsi="宋体" w:eastAsia="宋体" w:cs="宋体"/>
          <w:b/>
          <w:sz w:val="21"/>
          <w:szCs w:val="21"/>
          <w:lang w:val="en-US" w:eastAsia="zh-CN" w:bidi="ar-SA"/>
        </w:rPr>
      </w:pPr>
      <w:r>
        <w:rPr>
          <w:rStyle w:val="20"/>
          <w:rFonts w:hint="eastAsia" w:ascii="宋体" w:hAnsi="宋体" w:eastAsia="宋体" w:cs="宋体"/>
          <w:sz w:val="24"/>
          <w:szCs w:val="24"/>
          <w:lang w:val="en-US" w:eastAsia="zh-CN" w:bidi="ar-SA"/>
        </w:rPr>
        <w:t xml:space="preserve"> </w:t>
      </w:r>
      <w:r>
        <w:rPr>
          <w:rStyle w:val="20"/>
          <w:rFonts w:hint="eastAsia" w:ascii="宋体" w:hAnsi="宋体" w:eastAsia="宋体" w:cs="宋体"/>
          <w:sz w:val="24"/>
          <w:szCs w:val="24"/>
          <w:lang w:val="en-US" w:eastAsia="zh-CN" w:bidi="ar-SA"/>
        </w:rPr>
        <w:tab/>
      </w:r>
      <w:r>
        <w:rPr>
          <w:rStyle w:val="20"/>
          <w:rFonts w:hint="eastAsia" w:ascii="宋体" w:hAnsi="宋体" w:eastAsia="宋体" w:cs="宋体"/>
          <w:sz w:val="21"/>
          <w:szCs w:val="21"/>
          <w:lang w:val="en-US" w:eastAsia="zh-CN" w:bidi="ar-SA"/>
        </w:rPr>
        <w:t>为防止供货活动中违法违纪行为和不廉洁现象的发生，乙方在</w:t>
      </w:r>
      <w:r>
        <w:rPr>
          <w:rStyle w:val="20"/>
          <w:rFonts w:hint="eastAsia" w:ascii="宋体" w:hAnsi="宋体" w:eastAsia="宋体" w:cs="宋体"/>
          <w:sz w:val="21"/>
          <w:szCs w:val="21"/>
          <w:u w:val="single"/>
          <w:lang w:val="en-US" w:eastAsia="zh-CN" w:bidi="ar-SA"/>
        </w:rPr>
        <w:t>北京大学医学部科研信息管理平台采购</w:t>
      </w:r>
      <w:r>
        <w:rPr>
          <w:rStyle w:val="20"/>
          <w:rFonts w:hint="eastAsia" w:ascii="宋体" w:hAnsi="宋体" w:eastAsia="宋体" w:cs="宋体"/>
          <w:bCs/>
          <w:sz w:val="21"/>
          <w:szCs w:val="21"/>
          <w:u w:val="single"/>
          <w:lang w:val="en-US" w:eastAsia="zh-CN" w:bidi="ar-SA"/>
        </w:rPr>
        <w:t>项目</w:t>
      </w:r>
      <w:r>
        <w:rPr>
          <w:rStyle w:val="20"/>
          <w:rFonts w:hint="eastAsia" w:ascii="宋体" w:hAnsi="宋体" w:eastAsia="宋体" w:cs="宋体"/>
          <w:sz w:val="21"/>
          <w:szCs w:val="21"/>
          <w:lang w:val="en-US" w:eastAsia="zh-CN" w:bidi="ar-SA"/>
        </w:rPr>
        <w:t>中，自愿签订本承诺书，并严格执行。</w:t>
      </w:r>
    </w:p>
    <w:p>
      <w:pPr>
        <w:spacing w:line="240" w:lineRule="auto"/>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第一条  具备参与医学部招标文件规定的资格、资质要求。遵循诚实信用原则，不发生损害各方当事人合法权益的不正当行为。严格遵守法律法规、政策以及有关廉政建设的各项规定。</w:t>
      </w:r>
    </w:p>
    <w:p>
      <w:pPr>
        <w:spacing w:line="240" w:lineRule="auto"/>
        <w:ind w:firstLine="420" w:firstLineChars="20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第二条  严格执行合同，自觉按合同办事。与医学部有关人员保持正常的业务交往，遵循以下规定：</w:t>
      </w:r>
    </w:p>
    <w:p>
      <w:pPr>
        <w:spacing w:line="240" w:lineRule="auto"/>
        <w:ind w:firstLine="48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(一) 不为相关部门、人员赠送礼金、储值卡、有价证券、贵重物品及回扣、好处费、感谢费等。</w:t>
      </w:r>
    </w:p>
    <w:p>
      <w:pPr>
        <w:spacing w:line="240" w:lineRule="auto"/>
        <w:ind w:firstLine="48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(二) 不为相关部门、人员安排宴请、健身、娱乐等活动。</w:t>
      </w:r>
    </w:p>
    <w:p>
      <w:pPr>
        <w:spacing w:line="240" w:lineRule="auto"/>
        <w:ind w:firstLine="48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(三) 不为相关人员报销应由个人支付的费用。</w:t>
      </w:r>
    </w:p>
    <w:p>
      <w:pPr>
        <w:spacing w:line="240" w:lineRule="auto"/>
        <w:ind w:firstLine="48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(四) 不为相关部门、人员提供违反合同约定的通讯、交通工具、高档办公用品。</w:t>
      </w:r>
    </w:p>
    <w:p>
      <w:pPr>
        <w:spacing w:line="240" w:lineRule="auto"/>
        <w:ind w:firstLine="48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(五) 不为相关人员在住房装修、婚丧嫁娶、配偶子女的工作安排以及出国(境)、旅游等方面提供方便。</w:t>
      </w:r>
    </w:p>
    <w:p>
      <w:pPr>
        <w:spacing w:line="240" w:lineRule="auto"/>
        <w:ind w:firstLine="48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(六) 不为相关人员提供违反规定的其它不正当利益。</w:t>
      </w:r>
    </w:p>
    <w:p>
      <w:pPr>
        <w:spacing w:line="240" w:lineRule="auto"/>
        <w:ind w:firstLine="57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第三条  如自愿表示对医学部给予其他形式优惠或捐赠，会在合同书中写明。</w:t>
      </w:r>
    </w:p>
    <w:p>
      <w:pPr>
        <w:spacing w:line="240" w:lineRule="auto"/>
        <w:ind w:firstLine="57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第四条  发现各方当事人有违规或不廉洁行为的，及时提醒，予以纠正；情节严重的，主动向医学部监察室举报。</w:t>
      </w:r>
    </w:p>
    <w:p>
      <w:pPr>
        <w:spacing w:line="240" w:lineRule="auto"/>
        <w:ind w:firstLine="57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第五条  如未履行上述承诺，自愿被取消中标或供货资格并按医学部有关规定办理。造成损失的，医学部有通过法律途径进行追究的权利。</w:t>
      </w:r>
    </w:p>
    <w:p>
      <w:pPr>
        <w:spacing w:line="240" w:lineRule="auto"/>
        <w:ind w:firstLine="57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第六条  本承诺书是合同附件，乙方与合同一并签署，具有同等法律效力。</w:t>
      </w:r>
    </w:p>
    <w:p>
      <w:pPr>
        <w:spacing w:line="240" w:lineRule="auto"/>
        <w:ind w:firstLine="570"/>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第七条  本承诺书一式三份，两份附双方合同之后，一份存医学部监察室。</w:t>
      </w:r>
    </w:p>
    <w:p>
      <w:pPr>
        <w:spacing w:line="240" w:lineRule="auto"/>
        <w:ind w:left="360"/>
        <w:rPr>
          <w:rStyle w:val="20"/>
          <w:rFonts w:hint="eastAsia" w:ascii="宋体" w:hAnsi="宋体" w:eastAsia="宋体" w:cs="宋体"/>
          <w:sz w:val="21"/>
          <w:szCs w:val="21"/>
          <w:lang w:val="en-US" w:eastAsia="zh-CN" w:bidi="ar-SA"/>
        </w:rPr>
      </w:pP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w:t>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承诺单位（盖章)：</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法定代表人（签字）：</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 xml:space="preserve">                                   </w:t>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地址：</w:t>
      </w:r>
    </w:p>
    <w:p>
      <w:pPr>
        <w:spacing w:line="240" w:lineRule="auto"/>
        <w:rPr>
          <w:rStyle w:val="20"/>
          <w:rFonts w:hint="eastAsia" w:ascii="宋体" w:hAnsi="宋体" w:eastAsia="宋体" w:cs="宋体"/>
          <w:sz w:val="21"/>
          <w:szCs w:val="21"/>
          <w:lang w:val="en-US" w:eastAsia="zh-CN" w:bidi="ar-SA"/>
        </w:rPr>
      </w:pP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 xml:space="preserve">电话：                                                                        </w:t>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ab/>
      </w:r>
      <w:r>
        <w:rPr>
          <w:rStyle w:val="20"/>
          <w:rFonts w:hint="eastAsia" w:ascii="宋体" w:hAnsi="宋体" w:eastAsia="宋体" w:cs="宋体"/>
          <w:sz w:val="21"/>
          <w:szCs w:val="21"/>
          <w:lang w:val="en-US" w:eastAsia="zh-CN" w:bidi="ar-SA"/>
        </w:rPr>
        <w:t>年   月   日</w:t>
      </w:r>
    </w:p>
    <w:p>
      <w:pPr>
        <w:spacing w:line="240" w:lineRule="auto"/>
        <w:rPr>
          <w:rStyle w:val="20"/>
          <w:rFonts w:hint="eastAsia" w:ascii="宋体" w:hAnsi="宋体" w:eastAsia="宋体" w:cs="宋体"/>
          <w:sz w:val="21"/>
          <w:szCs w:val="21"/>
          <w:lang w:val="en-US" w:eastAsia="zh-CN" w:bidi="ar-SA"/>
        </w:rPr>
      </w:pPr>
      <w:bookmarkStart w:id="0" w:name="_GoBack"/>
      <w:bookmarkEnd w:id="0"/>
    </w:p>
    <w:sectPr>
      <w:pgSz w:w="11906" w:h="16838"/>
      <w:pgMar w:top="1418" w:right="1418" w:bottom="1418" w:left="1701" w:header="851" w:footer="851"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A9907"/>
    <w:multiLevelType w:val="singleLevel"/>
    <w:tmpl w:val="EE2A9907"/>
    <w:lvl w:ilvl="0" w:tentative="0">
      <w:start w:val="5"/>
      <w:numFmt w:val="decimal"/>
      <w:pStyle w:val="68"/>
      <w:lvlText w:val="%1."/>
      <w:lvlJc w:val="left"/>
      <w:pPr>
        <w:widowControl/>
        <w:spacing w:line="240" w:lineRule="auto"/>
        <w:ind w:left="1869" w:hanging="735"/>
      </w:pPr>
    </w:lvl>
  </w:abstractNum>
  <w:abstractNum w:abstractNumId="1">
    <w:nsid w:val="00000001"/>
    <w:multiLevelType w:val="singleLevel"/>
    <w:tmpl w:val="00000001"/>
    <w:lvl w:ilvl="0" w:tentative="0">
      <w:start w:val="1"/>
      <w:numFmt w:val="chineseCounting"/>
      <w:suff w:val="nothing"/>
      <w:lvlText w:val="%1、"/>
      <w:lvlJc w:val="left"/>
      <w:pPr>
        <w:widowControl/>
        <w:spacing w:line="240" w:lineRule="auto"/>
        <w:ind w:left="0" w:firstLine="0"/>
      </w:pPr>
      <w:rPr>
        <w:rStyle w:val="20"/>
      </w:rPr>
    </w:lvl>
  </w:abstractNum>
  <w:abstractNum w:abstractNumId="2">
    <w:nsid w:val="00000005"/>
    <w:multiLevelType w:val="singleLevel"/>
    <w:tmpl w:val="00000005"/>
    <w:lvl w:ilvl="0" w:tentative="0">
      <w:start w:val="1"/>
      <w:numFmt w:val="decimal"/>
      <w:lvlText w:val="%1."/>
      <w:lvlJc w:val="left"/>
      <w:pPr>
        <w:widowControl/>
        <w:spacing w:line="240" w:lineRule="auto"/>
        <w:ind w:left="425" w:hanging="425"/>
      </w:pPr>
      <w:rPr>
        <w:rStyle w:val="20"/>
      </w:rPr>
    </w:lvl>
  </w:abstractNum>
  <w:abstractNum w:abstractNumId="3">
    <w:nsid w:val="0000000B"/>
    <w:multiLevelType w:val="multilevel"/>
    <w:tmpl w:val="0000000B"/>
    <w:lvl w:ilvl="0" w:tentative="0">
      <w:start w:val="1"/>
      <w:numFmt w:val="decimal"/>
      <w:lvlText w:val="（%1）"/>
      <w:lvlJc w:val="left"/>
      <w:pPr>
        <w:widowControl/>
        <w:spacing w:line="240" w:lineRule="auto"/>
        <w:ind w:left="1200" w:hanging="720"/>
      </w:pPr>
      <w:rPr>
        <w:rStyle w:val="20"/>
      </w:rPr>
    </w:lvl>
    <w:lvl w:ilvl="1" w:tentative="0">
      <w:start w:val="1"/>
      <w:numFmt w:val="lowerLetter"/>
      <w:lvlText w:val="%1)"/>
      <w:lvlJc w:val="left"/>
      <w:pPr>
        <w:widowControl/>
        <w:spacing w:line="240" w:lineRule="auto"/>
        <w:ind w:left="840" w:hanging="420"/>
      </w:pPr>
      <w:rPr>
        <w:rStyle w:val="20"/>
      </w:rPr>
    </w:lvl>
    <w:lvl w:ilvl="2" w:tentative="0">
      <w:start w:val="1"/>
      <w:numFmt w:val="lowerRoman"/>
      <w:lvlText w:val="%1."/>
      <w:lvlJc w:val="right"/>
      <w:pPr>
        <w:widowControl/>
        <w:spacing w:line="240" w:lineRule="auto"/>
        <w:ind w:left="1260" w:hanging="420"/>
      </w:pPr>
      <w:rPr>
        <w:rStyle w:val="20"/>
      </w:rPr>
    </w:lvl>
    <w:lvl w:ilvl="3" w:tentative="0">
      <w:start w:val="1"/>
      <w:numFmt w:val="decimal"/>
      <w:lvlText w:val="%1."/>
      <w:lvlJc w:val="left"/>
      <w:pPr>
        <w:widowControl/>
        <w:spacing w:line="240" w:lineRule="auto"/>
        <w:ind w:left="1680" w:hanging="420"/>
      </w:pPr>
      <w:rPr>
        <w:rStyle w:val="20"/>
      </w:rPr>
    </w:lvl>
    <w:lvl w:ilvl="4" w:tentative="0">
      <w:start w:val="1"/>
      <w:numFmt w:val="lowerLetter"/>
      <w:lvlText w:val="%1)"/>
      <w:lvlJc w:val="left"/>
      <w:pPr>
        <w:widowControl/>
        <w:spacing w:line="240" w:lineRule="auto"/>
        <w:ind w:left="2100" w:hanging="420"/>
      </w:pPr>
      <w:rPr>
        <w:rStyle w:val="20"/>
      </w:rPr>
    </w:lvl>
    <w:lvl w:ilvl="5" w:tentative="0">
      <w:start w:val="1"/>
      <w:numFmt w:val="lowerRoman"/>
      <w:lvlText w:val="%1."/>
      <w:lvlJc w:val="right"/>
      <w:pPr>
        <w:widowControl/>
        <w:spacing w:line="240" w:lineRule="auto"/>
        <w:ind w:left="2520" w:hanging="420"/>
      </w:pPr>
      <w:rPr>
        <w:rStyle w:val="20"/>
      </w:rPr>
    </w:lvl>
    <w:lvl w:ilvl="6" w:tentative="0">
      <w:start w:val="1"/>
      <w:numFmt w:val="decimal"/>
      <w:lvlText w:val="%1."/>
      <w:lvlJc w:val="left"/>
      <w:pPr>
        <w:widowControl/>
        <w:spacing w:line="240" w:lineRule="auto"/>
        <w:ind w:left="2940" w:hanging="420"/>
      </w:pPr>
      <w:rPr>
        <w:rStyle w:val="20"/>
      </w:rPr>
    </w:lvl>
    <w:lvl w:ilvl="7" w:tentative="0">
      <w:start w:val="1"/>
      <w:numFmt w:val="lowerLetter"/>
      <w:lvlText w:val="%1)"/>
      <w:lvlJc w:val="left"/>
      <w:pPr>
        <w:widowControl/>
        <w:spacing w:line="240" w:lineRule="auto"/>
        <w:ind w:left="3360" w:hanging="420"/>
      </w:pPr>
      <w:rPr>
        <w:rStyle w:val="20"/>
      </w:rPr>
    </w:lvl>
    <w:lvl w:ilvl="8" w:tentative="0">
      <w:start w:val="1"/>
      <w:numFmt w:val="lowerRoman"/>
      <w:lvlText w:val="%1."/>
      <w:lvlJc w:val="right"/>
      <w:pPr>
        <w:widowControl/>
        <w:spacing w:line="240" w:lineRule="auto"/>
        <w:ind w:left="3780" w:hanging="420"/>
      </w:pPr>
      <w:rPr>
        <w:rStyle w:val="20"/>
      </w:rPr>
    </w:lvl>
  </w:abstractNum>
  <w:abstractNum w:abstractNumId="4">
    <w:nsid w:val="0000000C"/>
    <w:multiLevelType w:val="singleLevel"/>
    <w:tmpl w:val="0000000C"/>
    <w:lvl w:ilvl="0" w:tentative="0">
      <w:start w:val="1"/>
      <w:numFmt w:val="decimal"/>
      <w:lvlText w:val="%1."/>
      <w:lvlJc w:val="left"/>
      <w:pPr>
        <w:widowControl/>
        <w:spacing w:line="240" w:lineRule="auto"/>
        <w:ind w:left="425" w:hanging="425"/>
      </w:pPr>
      <w:rPr>
        <w:rStyle w:val="20"/>
      </w:rPr>
    </w:lvl>
  </w:abstractNum>
  <w:abstractNum w:abstractNumId="5">
    <w:nsid w:val="0000000D"/>
    <w:multiLevelType w:val="multilevel"/>
    <w:tmpl w:val="0000000D"/>
    <w:lvl w:ilvl="0" w:tentative="0">
      <w:start w:val="1"/>
      <w:numFmt w:val="decimal"/>
      <w:lvlText w:val="%1、"/>
      <w:lvlJc w:val="left"/>
      <w:pPr>
        <w:widowControl/>
        <w:spacing w:line="240" w:lineRule="auto"/>
        <w:ind w:left="840" w:hanging="420"/>
      </w:pPr>
      <w:rPr>
        <w:rStyle w:val="20"/>
      </w:rPr>
    </w:lvl>
    <w:lvl w:ilvl="1" w:tentative="0">
      <w:start w:val="1"/>
      <w:numFmt w:val="japaneseCounting"/>
      <w:lvlText w:val="%1、"/>
      <w:lvlJc w:val="left"/>
      <w:pPr>
        <w:widowControl/>
        <w:spacing w:line="240" w:lineRule="auto"/>
        <w:ind w:left="855" w:hanging="435"/>
      </w:pPr>
      <w:rPr>
        <w:rStyle w:val="20"/>
      </w:rPr>
    </w:lvl>
    <w:lvl w:ilvl="2" w:tentative="0">
      <w:start w:val="1"/>
      <w:numFmt w:val="lowerRoman"/>
      <w:lvlText w:val="%1."/>
      <w:lvlJc w:val="right"/>
      <w:pPr>
        <w:widowControl/>
        <w:spacing w:line="240" w:lineRule="auto"/>
        <w:ind w:left="1260" w:hanging="420"/>
      </w:pPr>
      <w:rPr>
        <w:rStyle w:val="20"/>
      </w:rPr>
    </w:lvl>
    <w:lvl w:ilvl="3" w:tentative="0">
      <w:start w:val="1"/>
      <w:numFmt w:val="decimal"/>
      <w:lvlText w:val="%1."/>
      <w:lvlJc w:val="left"/>
      <w:pPr>
        <w:widowControl/>
        <w:spacing w:line="240" w:lineRule="auto"/>
        <w:ind w:left="1680" w:hanging="420"/>
      </w:pPr>
      <w:rPr>
        <w:rStyle w:val="20"/>
      </w:rPr>
    </w:lvl>
    <w:lvl w:ilvl="4" w:tentative="0">
      <w:start w:val="1"/>
      <w:numFmt w:val="lowerLetter"/>
      <w:lvlText w:val="%1)"/>
      <w:lvlJc w:val="left"/>
      <w:pPr>
        <w:widowControl/>
        <w:spacing w:line="240" w:lineRule="auto"/>
        <w:ind w:left="2100" w:hanging="420"/>
      </w:pPr>
      <w:rPr>
        <w:rStyle w:val="20"/>
      </w:rPr>
    </w:lvl>
    <w:lvl w:ilvl="5" w:tentative="0">
      <w:start w:val="1"/>
      <w:numFmt w:val="lowerRoman"/>
      <w:lvlText w:val="%1."/>
      <w:lvlJc w:val="right"/>
      <w:pPr>
        <w:widowControl/>
        <w:spacing w:line="240" w:lineRule="auto"/>
        <w:ind w:left="2520" w:hanging="420"/>
      </w:pPr>
      <w:rPr>
        <w:rStyle w:val="20"/>
      </w:rPr>
    </w:lvl>
    <w:lvl w:ilvl="6" w:tentative="0">
      <w:start w:val="1"/>
      <w:numFmt w:val="decimal"/>
      <w:lvlText w:val="%1."/>
      <w:lvlJc w:val="left"/>
      <w:pPr>
        <w:widowControl/>
        <w:spacing w:line="240" w:lineRule="auto"/>
        <w:ind w:left="2940" w:hanging="420"/>
      </w:pPr>
      <w:rPr>
        <w:rStyle w:val="20"/>
      </w:rPr>
    </w:lvl>
    <w:lvl w:ilvl="7" w:tentative="0">
      <w:start w:val="1"/>
      <w:numFmt w:val="lowerLetter"/>
      <w:lvlText w:val="%1)"/>
      <w:lvlJc w:val="left"/>
      <w:pPr>
        <w:widowControl/>
        <w:spacing w:line="240" w:lineRule="auto"/>
        <w:ind w:left="3360" w:hanging="420"/>
      </w:pPr>
      <w:rPr>
        <w:rStyle w:val="20"/>
      </w:rPr>
    </w:lvl>
    <w:lvl w:ilvl="8" w:tentative="0">
      <w:start w:val="1"/>
      <w:numFmt w:val="lowerRoman"/>
      <w:lvlText w:val="%1."/>
      <w:lvlJc w:val="right"/>
      <w:pPr>
        <w:widowControl/>
        <w:spacing w:line="240" w:lineRule="auto"/>
        <w:ind w:left="3780" w:hanging="420"/>
      </w:pPr>
      <w:rPr>
        <w:rStyle w:val="20"/>
      </w:rPr>
    </w:lvl>
  </w:abstractNum>
  <w:abstractNum w:abstractNumId="6">
    <w:nsid w:val="0000000E"/>
    <w:multiLevelType w:val="multilevel"/>
    <w:tmpl w:val="0000000E"/>
    <w:lvl w:ilvl="0" w:tentative="0">
      <w:start w:val="1"/>
      <w:numFmt w:val="upperLetter"/>
      <w:lvlText w:val="%1、"/>
      <w:lvlJc w:val="left"/>
      <w:pPr>
        <w:widowControl/>
        <w:spacing w:line="240" w:lineRule="auto"/>
        <w:ind w:left="1500" w:hanging="420"/>
      </w:pPr>
      <w:rPr>
        <w:rStyle w:val="20"/>
        <w:rFonts w:ascii="宋体" w:hAnsi="宋体" w:eastAsia="宋体"/>
      </w:rPr>
    </w:lvl>
    <w:lvl w:ilvl="1" w:tentative="0">
      <w:start w:val="1"/>
      <w:numFmt w:val="lowerLetter"/>
      <w:lvlText w:val="%1)"/>
      <w:lvlJc w:val="left"/>
      <w:pPr>
        <w:widowControl/>
        <w:spacing w:line="240" w:lineRule="auto"/>
        <w:ind w:left="1500" w:hanging="420"/>
      </w:pPr>
      <w:rPr>
        <w:rStyle w:val="20"/>
      </w:rPr>
    </w:lvl>
    <w:lvl w:ilvl="2" w:tentative="0">
      <w:start w:val="1"/>
      <w:numFmt w:val="lowerRoman"/>
      <w:lvlText w:val="%1."/>
      <w:lvlJc w:val="right"/>
      <w:pPr>
        <w:widowControl/>
        <w:spacing w:line="240" w:lineRule="auto"/>
        <w:ind w:left="1920" w:hanging="420"/>
      </w:pPr>
      <w:rPr>
        <w:rStyle w:val="20"/>
      </w:rPr>
    </w:lvl>
    <w:lvl w:ilvl="3" w:tentative="0">
      <w:start w:val="1"/>
      <w:numFmt w:val="decimal"/>
      <w:lvlText w:val="%1."/>
      <w:lvlJc w:val="left"/>
      <w:pPr>
        <w:widowControl/>
        <w:spacing w:line="240" w:lineRule="auto"/>
        <w:ind w:left="2340" w:hanging="420"/>
      </w:pPr>
      <w:rPr>
        <w:rStyle w:val="20"/>
      </w:rPr>
    </w:lvl>
    <w:lvl w:ilvl="4" w:tentative="0">
      <w:start w:val="1"/>
      <w:numFmt w:val="lowerLetter"/>
      <w:lvlText w:val="%1)"/>
      <w:lvlJc w:val="left"/>
      <w:pPr>
        <w:widowControl/>
        <w:spacing w:line="240" w:lineRule="auto"/>
        <w:ind w:left="2760" w:hanging="420"/>
      </w:pPr>
      <w:rPr>
        <w:rStyle w:val="20"/>
      </w:rPr>
    </w:lvl>
    <w:lvl w:ilvl="5" w:tentative="0">
      <w:start w:val="1"/>
      <w:numFmt w:val="lowerRoman"/>
      <w:lvlText w:val="%1."/>
      <w:lvlJc w:val="right"/>
      <w:pPr>
        <w:widowControl/>
        <w:spacing w:line="240" w:lineRule="auto"/>
        <w:ind w:left="3180" w:hanging="420"/>
      </w:pPr>
      <w:rPr>
        <w:rStyle w:val="20"/>
      </w:rPr>
    </w:lvl>
    <w:lvl w:ilvl="6" w:tentative="0">
      <w:start w:val="1"/>
      <w:numFmt w:val="decimal"/>
      <w:lvlText w:val="%1."/>
      <w:lvlJc w:val="left"/>
      <w:pPr>
        <w:widowControl/>
        <w:spacing w:line="240" w:lineRule="auto"/>
        <w:ind w:left="3600" w:hanging="420"/>
      </w:pPr>
      <w:rPr>
        <w:rStyle w:val="20"/>
      </w:rPr>
    </w:lvl>
    <w:lvl w:ilvl="7" w:tentative="0">
      <w:start w:val="1"/>
      <w:numFmt w:val="lowerLetter"/>
      <w:lvlText w:val="%1)"/>
      <w:lvlJc w:val="left"/>
      <w:pPr>
        <w:widowControl/>
        <w:spacing w:line="240" w:lineRule="auto"/>
        <w:ind w:left="4020" w:hanging="420"/>
      </w:pPr>
      <w:rPr>
        <w:rStyle w:val="20"/>
      </w:rPr>
    </w:lvl>
    <w:lvl w:ilvl="8" w:tentative="0">
      <w:start w:val="1"/>
      <w:numFmt w:val="lowerRoman"/>
      <w:lvlText w:val="%1."/>
      <w:lvlJc w:val="right"/>
      <w:pPr>
        <w:widowControl/>
        <w:spacing w:line="240" w:lineRule="auto"/>
        <w:ind w:left="4440" w:hanging="420"/>
      </w:pPr>
      <w:rPr>
        <w:rStyle w:val="20"/>
      </w:rPr>
    </w:lvl>
  </w:abstractNum>
  <w:abstractNum w:abstractNumId="7">
    <w:nsid w:val="00000010"/>
    <w:multiLevelType w:val="multilevel"/>
    <w:tmpl w:val="00000010"/>
    <w:lvl w:ilvl="0" w:tentative="0">
      <w:start w:val="1"/>
      <w:numFmt w:val="decimal"/>
      <w:lvlText w:val="%1、"/>
      <w:lvlJc w:val="left"/>
      <w:pPr>
        <w:widowControl/>
        <w:spacing w:line="240" w:lineRule="auto"/>
        <w:ind w:left="840" w:hanging="360"/>
      </w:pPr>
      <w:rPr>
        <w:rStyle w:val="20"/>
      </w:rPr>
    </w:lvl>
    <w:lvl w:ilvl="1" w:tentative="0">
      <w:start w:val="1"/>
      <w:numFmt w:val="lowerLetter"/>
      <w:lvlText w:val="%1)"/>
      <w:lvlJc w:val="left"/>
      <w:pPr>
        <w:widowControl/>
        <w:spacing w:line="240" w:lineRule="auto"/>
        <w:ind w:left="840" w:hanging="420"/>
      </w:pPr>
      <w:rPr>
        <w:rStyle w:val="20"/>
      </w:rPr>
    </w:lvl>
    <w:lvl w:ilvl="2" w:tentative="0">
      <w:start w:val="1"/>
      <w:numFmt w:val="lowerRoman"/>
      <w:lvlText w:val="%1."/>
      <w:lvlJc w:val="right"/>
      <w:pPr>
        <w:widowControl/>
        <w:spacing w:line="240" w:lineRule="auto"/>
        <w:ind w:left="1260" w:hanging="420"/>
      </w:pPr>
      <w:rPr>
        <w:rStyle w:val="20"/>
      </w:rPr>
    </w:lvl>
    <w:lvl w:ilvl="3" w:tentative="0">
      <w:start w:val="1"/>
      <w:numFmt w:val="decimal"/>
      <w:lvlText w:val="%1."/>
      <w:lvlJc w:val="left"/>
      <w:pPr>
        <w:widowControl/>
        <w:spacing w:line="240" w:lineRule="auto"/>
        <w:ind w:left="1680" w:hanging="420"/>
      </w:pPr>
      <w:rPr>
        <w:rStyle w:val="20"/>
      </w:rPr>
    </w:lvl>
    <w:lvl w:ilvl="4" w:tentative="0">
      <w:start w:val="1"/>
      <w:numFmt w:val="lowerLetter"/>
      <w:lvlText w:val="%1)"/>
      <w:lvlJc w:val="left"/>
      <w:pPr>
        <w:widowControl/>
        <w:spacing w:line="240" w:lineRule="auto"/>
        <w:ind w:left="2100" w:hanging="420"/>
      </w:pPr>
      <w:rPr>
        <w:rStyle w:val="20"/>
      </w:rPr>
    </w:lvl>
    <w:lvl w:ilvl="5" w:tentative="0">
      <w:start w:val="1"/>
      <w:numFmt w:val="lowerRoman"/>
      <w:lvlText w:val="%1."/>
      <w:lvlJc w:val="right"/>
      <w:pPr>
        <w:widowControl/>
        <w:spacing w:line="240" w:lineRule="auto"/>
        <w:ind w:left="2520" w:hanging="420"/>
      </w:pPr>
      <w:rPr>
        <w:rStyle w:val="20"/>
      </w:rPr>
    </w:lvl>
    <w:lvl w:ilvl="6" w:tentative="0">
      <w:start w:val="1"/>
      <w:numFmt w:val="decimal"/>
      <w:lvlText w:val="%1."/>
      <w:lvlJc w:val="left"/>
      <w:pPr>
        <w:widowControl/>
        <w:spacing w:line="240" w:lineRule="auto"/>
        <w:ind w:left="2940" w:hanging="420"/>
      </w:pPr>
      <w:rPr>
        <w:rStyle w:val="20"/>
      </w:rPr>
    </w:lvl>
    <w:lvl w:ilvl="7" w:tentative="0">
      <w:start w:val="1"/>
      <w:numFmt w:val="lowerLetter"/>
      <w:lvlText w:val="%1)"/>
      <w:lvlJc w:val="left"/>
      <w:pPr>
        <w:widowControl/>
        <w:spacing w:line="240" w:lineRule="auto"/>
        <w:ind w:left="3360" w:hanging="420"/>
      </w:pPr>
      <w:rPr>
        <w:rStyle w:val="20"/>
      </w:rPr>
    </w:lvl>
    <w:lvl w:ilvl="8" w:tentative="0">
      <w:start w:val="1"/>
      <w:numFmt w:val="lowerRoman"/>
      <w:lvlText w:val="%1."/>
      <w:lvlJc w:val="right"/>
      <w:pPr>
        <w:widowControl/>
        <w:spacing w:line="240" w:lineRule="auto"/>
        <w:ind w:left="3780" w:hanging="420"/>
      </w:pPr>
      <w:rPr>
        <w:rStyle w:val="20"/>
      </w:rPr>
    </w:lvl>
  </w:abstractNum>
  <w:abstractNum w:abstractNumId="8">
    <w:nsid w:val="00000011"/>
    <w:multiLevelType w:val="singleLevel"/>
    <w:tmpl w:val="00000011"/>
    <w:lvl w:ilvl="0" w:tentative="0">
      <w:start w:val="1"/>
      <w:numFmt w:val="decimal"/>
      <w:lvlText w:val="%1."/>
      <w:lvlJc w:val="left"/>
      <w:pPr>
        <w:widowControl/>
        <w:spacing w:line="240" w:lineRule="auto"/>
        <w:ind w:left="425" w:hanging="425"/>
      </w:pPr>
      <w:rPr>
        <w:rStyle w:val="20"/>
      </w:rPr>
    </w:lvl>
  </w:abstractNum>
  <w:abstractNum w:abstractNumId="9">
    <w:nsid w:val="00000012"/>
    <w:multiLevelType w:val="multilevel"/>
    <w:tmpl w:val="00000012"/>
    <w:lvl w:ilvl="0" w:tentative="0">
      <w:start w:val="1"/>
      <w:numFmt w:val="decimal"/>
      <w:lvlText w:val="（%1）"/>
      <w:lvlJc w:val="left"/>
      <w:pPr>
        <w:widowControl/>
        <w:spacing w:line="240" w:lineRule="auto"/>
        <w:ind w:left="1200" w:hanging="720"/>
      </w:pPr>
      <w:rPr>
        <w:rStyle w:val="20"/>
      </w:rPr>
    </w:lvl>
    <w:lvl w:ilvl="1" w:tentative="0">
      <w:start w:val="1"/>
      <w:numFmt w:val="lowerLetter"/>
      <w:lvlText w:val="%1)"/>
      <w:lvlJc w:val="left"/>
      <w:pPr>
        <w:widowControl/>
        <w:spacing w:line="240" w:lineRule="auto"/>
        <w:ind w:left="840" w:hanging="420"/>
      </w:pPr>
      <w:rPr>
        <w:rStyle w:val="20"/>
      </w:rPr>
    </w:lvl>
    <w:lvl w:ilvl="2" w:tentative="0">
      <w:start w:val="1"/>
      <w:numFmt w:val="lowerRoman"/>
      <w:lvlText w:val="%1."/>
      <w:lvlJc w:val="right"/>
      <w:pPr>
        <w:widowControl/>
        <w:spacing w:line="240" w:lineRule="auto"/>
        <w:ind w:left="1260" w:hanging="420"/>
      </w:pPr>
      <w:rPr>
        <w:rStyle w:val="20"/>
      </w:rPr>
    </w:lvl>
    <w:lvl w:ilvl="3" w:tentative="0">
      <w:start w:val="1"/>
      <w:numFmt w:val="decimal"/>
      <w:lvlText w:val="%1."/>
      <w:lvlJc w:val="left"/>
      <w:pPr>
        <w:widowControl/>
        <w:spacing w:line="240" w:lineRule="auto"/>
        <w:ind w:left="1680" w:hanging="420"/>
      </w:pPr>
      <w:rPr>
        <w:rStyle w:val="20"/>
      </w:rPr>
    </w:lvl>
    <w:lvl w:ilvl="4" w:tentative="0">
      <w:start w:val="1"/>
      <w:numFmt w:val="lowerLetter"/>
      <w:lvlText w:val="%1)"/>
      <w:lvlJc w:val="left"/>
      <w:pPr>
        <w:widowControl/>
        <w:spacing w:line="240" w:lineRule="auto"/>
        <w:ind w:left="2100" w:hanging="420"/>
      </w:pPr>
      <w:rPr>
        <w:rStyle w:val="20"/>
      </w:rPr>
    </w:lvl>
    <w:lvl w:ilvl="5" w:tentative="0">
      <w:start w:val="1"/>
      <w:numFmt w:val="lowerRoman"/>
      <w:lvlText w:val="%1."/>
      <w:lvlJc w:val="right"/>
      <w:pPr>
        <w:widowControl/>
        <w:spacing w:line="240" w:lineRule="auto"/>
        <w:ind w:left="2520" w:hanging="420"/>
      </w:pPr>
      <w:rPr>
        <w:rStyle w:val="20"/>
      </w:rPr>
    </w:lvl>
    <w:lvl w:ilvl="6" w:tentative="0">
      <w:start w:val="1"/>
      <w:numFmt w:val="decimal"/>
      <w:lvlText w:val="%1."/>
      <w:lvlJc w:val="left"/>
      <w:pPr>
        <w:widowControl/>
        <w:spacing w:line="240" w:lineRule="auto"/>
        <w:ind w:left="2940" w:hanging="420"/>
      </w:pPr>
      <w:rPr>
        <w:rStyle w:val="20"/>
      </w:rPr>
    </w:lvl>
    <w:lvl w:ilvl="7" w:tentative="0">
      <w:start w:val="1"/>
      <w:numFmt w:val="lowerLetter"/>
      <w:lvlText w:val="%1)"/>
      <w:lvlJc w:val="left"/>
      <w:pPr>
        <w:widowControl/>
        <w:spacing w:line="240" w:lineRule="auto"/>
        <w:ind w:left="3360" w:hanging="420"/>
      </w:pPr>
      <w:rPr>
        <w:rStyle w:val="20"/>
      </w:rPr>
    </w:lvl>
    <w:lvl w:ilvl="8" w:tentative="0">
      <w:start w:val="1"/>
      <w:numFmt w:val="lowerRoman"/>
      <w:lvlText w:val="%1."/>
      <w:lvlJc w:val="right"/>
      <w:pPr>
        <w:widowControl/>
        <w:spacing w:line="240" w:lineRule="auto"/>
        <w:ind w:left="3780" w:hanging="420"/>
      </w:pPr>
      <w:rPr>
        <w:rStyle w:val="20"/>
      </w:rPr>
    </w:lvl>
  </w:abstractNum>
  <w:abstractNum w:abstractNumId="10">
    <w:nsid w:val="00000013"/>
    <w:multiLevelType w:val="singleLevel"/>
    <w:tmpl w:val="00000013"/>
    <w:lvl w:ilvl="0" w:tentative="0">
      <w:start w:val="1"/>
      <w:numFmt w:val="decimal"/>
      <w:lvlText w:val="%1."/>
      <w:lvlJc w:val="left"/>
      <w:pPr>
        <w:widowControl/>
        <w:spacing w:line="240" w:lineRule="auto"/>
        <w:ind w:left="425" w:hanging="425"/>
      </w:pPr>
      <w:rPr>
        <w:rStyle w:val="20"/>
      </w:rPr>
    </w:lvl>
  </w:abstractNum>
  <w:abstractNum w:abstractNumId="11">
    <w:nsid w:val="00000014"/>
    <w:multiLevelType w:val="multilevel"/>
    <w:tmpl w:val="00000014"/>
    <w:lvl w:ilvl="0" w:tentative="0">
      <w:start w:val="1"/>
      <w:numFmt w:val="decimal"/>
      <w:lvlText w:val="（%1）"/>
      <w:lvlJc w:val="left"/>
      <w:pPr>
        <w:widowControl/>
        <w:spacing w:line="240" w:lineRule="auto"/>
        <w:ind w:left="1140" w:hanging="720"/>
      </w:pPr>
      <w:rPr>
        <w:rStyle w:val="20"/>
      </w:rPr>
    </w:lvl>
    <w:lvl w:ilvl="1" w:tentative="0">
      <w:start w:val="1"/>
      <w:numFmt w:val="lowerLetter"/>
      <w:lvlText w:val="%1)"/>
      <w:lvlJc w:val="left"/>
      <w:pPr>
        <w:widowControl/>
        <w:spacing w:line="240" w:lineRule="auto"/>
        <w:ind w:left="780" w:hanging="420"/>
      </w:pPr>
      <w:rPr>
        <w:rStyle w:val="20"/>
      </w:rPr>
    </w:lvl>
    <w:lvl w:ilvl="2" w:tentative="0">
      <w:start w:val="1"/>
      <w:numFmt w:val="lowerRoman"/>
      <w:lvlText w:val="%1."/>
      <w:lvlJc w:val="right"/>
      <w:pPr>
        <w:widowControl/>
        <w:spacing w:line="240" w:lineRule="auto"/>
        <w:ind w:left="1200" w:hanging="420"/>
      </w:pPr>
      <w:rPr>
        <w:rStyle w:val="20"/>
      </w:rPr>
    </w:lvl>
    <w:lvl w:ilvl="3" w:tentative="0">
      <w:start w:val="1"/>
      <w:numFmt w:val="decimal"/>
      <w:lvlText w:val="%1."/>
      <w:lvlJc w:val="left"/>
      <w:pPr>
        <w:widowControl/>
        <w:spacing w:line="240" w:lineRule="auto"/>
        <w:ind w:left="1620" w:hanging="420"/>
      </w:pPr>
      <w:rPr>
        <w:rStyle w:val="20"/>
      </w:rPr>
    </w:lvl>
    <w:lvl w:ilvl="4" w:tentative="0">
      <w:start w:val="1"/>
      <w:numFmt w:val="lowerLetter"/>
      <w:lvlText w:val="%1)"/>
      <w:lvlJc w:val="left"/>
      <w:pPr>
        <w:widowControl/>
        <w:spacing w:line="240" w:lineRule="auto"/>
        <w:ind w:left="2040" w:hanging="420"/>
      </w:pPr>
      <w:rPr>
        <w:rStyle w:val="20"/>
      </w:rPr>
    </w:lvl>
    <w:lvl w:ilvl="5" w:tentative="0">
      <w:start w:val="1"/>
      <w:numFmt w:val="lowerRoman"/>
      <w:lvlText w:val="%1."/>
      <w:lvlJc w:val="right"/>
      <w:pPr>
        <w:widowControl/>
        <w:spacing w:line="240" w:lineRule="auto"/>
        <w:ind w:left="2460" w:hanging="420"/>
      </w:pPr>
      <w:rPr>
        <w:rStyle w:val="20"/>
      </w:rPr>
    </w:lvl>
    <w:lvl w:ilvl="6" w:tentative="0">
      <w:start w:val="1"/>
      <w:numFmt w:val="decimal"/>
      <w:lvlText w:val="%1."/>
      <w:lvlJc w:val="left"/>
      <w:pPr>
        <w:widowControl/>
        <w:spacing w:line="240" w:lineRule="auto"/>
        <w:ind w:left="2880" w:hanging="420"/>
      </w:pPr>
      <w:rPr>
        <w:rStyle w:val="20"/>
      </w:rPr>
    </w:lvl>
    <w:lvl w:ilvl="7" w:tentative="0">
      <w:start w:val="1"/>
      <w:numFmt w:val="lowerLetter"/>
      <w:lvlText w:val="%1)"/>
      <w:lvlJc w:val="left"/>
      <w:pPr>
        <w:widowControl/>
        <w:spacing w:line="240" w:lineRule="auto"/>
        <w:ind w:left="3300" w:hanging="420"/>
      </w:pPr>
      <w:rPr>
        <w:rStyle w:val="20"/>
      </w:rPr>
    </w:lvl>
    <w:lvl w:ilvl="8" w:tentative="0">
      <w:start w:val="1"/>
      <w:numFmt w:val="lowerRoman"/>
      <w:lvlText w:val="%1."/>
      <w:lvlJc w:val="right"/>
      <w:pPr>
        <w:widowControl/>
        <w:spacing w:line="240" w:lineRule="auto"/>
        <w:ind w:left="3720" w:hanging="420"/>
      </w:pPr>
      <w:rPr>
        <w:rStyle w:val="20"/>
      </w:rPr>
    </w:lvl>
  </w:abstractNum>
  <w:abstractNum w:abstractNumId="12">
    <w:nsid w:val="00000015"/>
    <w:multiLevelType w:val="multilevel"/>
    <w:tmpl w:val="00000015"/>
    <w:lvl w:ilvl="0" w:tentative="0">
      <w:start w:val="1"/>
      <w:numFmt w:val="decimal"/>
      <w:lvlText w:val="（%1）"/>
      <w:lvlJc w:val="left"/>
      <w:pPr>
        <w:widowControl/>
        <w:spacing w:line="240" w:lineRule="auto"/>
        <w:ind w:left="1200" w:hanging="720"/>
      </w:pPr>
      <w:rPr>
        <w:rStyle w:val="20"/>
      </w:rPr>
    </w:lvl>
    <w:lvl w:ilvl="1" w:tentative="0">
      <w:start w:val="1"/>
      <w:numFmt w:val="lowerLetter"/>
      <w:lvlText w:val="%1)"/>
      <w:lvlJc w:val="left"/>
      <w:pPr>
        <w:widowControl/>
        <w:spacing w:line="240" w:lineRule="auto"/>
        <w:ind w:left="840" w:hanging="420"/>
      </w:pPr>
      <w:rPr>
        <w:rStyle w:val="20"/>
      </w:rPr>
    </w:lvl>
    <w:lvl w:ilvl="2" w:tentative="0">
      <w:start w:val="1"/>
      <w:numFmt w:val="lowerRoman"/>
      <w:lvlText w:val="%1."/>
      <w:lvlJc w:val="right"/>
      <w:pPr>
        <w:widowControl/>
        <w:spacing w:line="240" w:lineRule="auto"/>
        <w:ind w:left="1260" w:hanging="420"/>
      </w:pPr>
      <w:rPr>
        <w:rStyle w:val="20"/>
      </w:rPr>
    </w:lvl>
    <w:lvl w:ilvl="3" w:tentative="0">
      <w:start w:val="1"/>
      <w:numFmt w:val="decimal"/>
      <w:lvlText w:val="%1."/>
      <w:lvlJc w:val="left"/>
      <w:pPr>
        <w:widowControl/>
        <w:spacing w:line="240" w:lineRule="auto"/>
        <w:ind w:left="1680" w:hanging="420"/>
      </w:pPr>
      <w:rPr>
        <w:rStyle w:val="20"/>
      </w:rPr>
    </w:lvl>
    <w:lvl w:ilvl="4" w:tentative="0">
      <w:start w:val="1"/>
      <w:numFmt w:val="lowerLetter"/>
      <w:lvlText w:val="%1)"/>
      <w:lvlJc w:val="left"/>
      <w:pPr>
        <w:widowControl/>
        <w:spacing w:line="240" w:lineRule="auto"/>
        <w:ind w:left="2100" w:hanging="420"/>
      </w:pPr>
      <w:rPr>
        <w:rStyle w:val="20"/>
      </w:rPr>
    </w:lvl>
    <w:lvl w:ilvl="5" w:tentative="0">
      <w:start w:val="1"/>
      <w:numFmt w:val="lowerRoman"/>
      <w:lvlText w:val="%1."/>
      <w:lvlJc w:val="right"/>
      <w:pPr>
        <w:widowControl/>
        <w:spacing w:line="240" w:lineRule="auto"/>
        <w:ind w:left="2520" w:hanging="420"/>
      </w:pPr>
      <w:rPr>
        <w:rStyle w:val="20"/>
      </w:rPr>
    </w:lvl>
    <w:lvl w:ilvl="6" w:tentative="0">
      <w:start w:val="1"/>
      <w:numFmt w:val="decimal"/>
      <w:lvlText w:val="%1."/>
      <w:lvlJc w:val="left"/>
      <w:pPr>
        <w:widowControl/>
        <w:spacing w:line="240" w:lineRule="auto"/>
        <w:ind w:left="2940" w:hanging="420"/>
      </w:pPr>
      <w:rPr>
        <w:rStyle w:val="20"/>
      </w:rPr>
    </w:lvl>
    <w:lvl w:ilvl="7" w:tentative="0">
      <w:start w:val="1"/>
      <w:numFmt w:val="lowerLetter"/>
      <w:lvlText w:val="%1)"/>
      <w:lvlJc w:val="left"/>
      <w:pPr>
        <w:widowControl/>
        <w:spacing w:line="240" w:lineRule="auto"/>
        <w:ind w:left="3360" w:hanging="420"/>
      </w:pPr>
      <w:rPr>
        <w:rStyle w:val="20"/>
      </w:rPr>
    </w:lvl>
    <w:lvl w:ilvl="8" w:tentative="0">
      <w:start w:val="1"/>
      <w:numFmt w:val="lowerRoman"/>
      <w:lvlText w:val="%1."/>
      <w:lvlJc w:val="right"/>
      <w:pPr>
        <w:widowControl/>
        <w:spacing w:line="240" w:lineRule="auto"/>
        <w:ind w:left="3780" w:hanging="420"/>
      </w:pPr>
      <w:rPr>
        <w:rStyle w:val="20"/>
      </w:rPr>
    </w:lvl>
  </w:abstractNum>
  <w:abstractNum w:abstractNumId="13">
    <w:nsid w:val="00000016"/>
    <w:multiLevelType w:val="multilevel"/>
    <w:tmpl w:val="00000016"/>
    <w:lvl w:ilvl="0" w:tentative="0">
      <w:start w:val="1"/>
      <w:numFmt w:val="decimal"/>
      <w:lvlText w:val="（%1）"/>
      <w:lvlJc w:val="left"/>
      <w:pPr>
        <w:widowControl/>
        <w:spacing w:line="240" w:lineRule="auto"/>
        <w:ind w:left="1200" w:hanging="720"/>
      </w:pPr>
      <w:rPr>
        <w:rStyle w:val="20"/>
      </w:rPr>
    </w:lvl>
    <w:lvl w:ilvl="1" w:tentative="0">
      <w:start w:val="1"/>
      <w:numFmt w:val="lowerLetter"/>
      <w:lvlText w:val="%1)"/>
      <w:lvlJc w:val="left"/>
      <w:pPr>
        <w:widowControl/>
        <w:spacing w:line="240" w:lineRule="auto"/>
        <w:ind w:left="840" w:hanging="420"/>
      </w:pPr>
      <w:rPr>
        <w:rStyle w:val="20"/>
      </w:rPr>
    </w:lvl>
    <w:lvl w:ilvl="2" w:tentative="0">
      <w:start w:val="1"/>
      <w:numFmt w:val="lowerRoman"/>
      <w:lvlText w:val="%1."/>
      <w:lvlJc w:val="right"/>
      <w:pPr>
        <w:widowControl/>
        <w:spacing w:line="240" w:lineRule="auto"/>
        <w:ind w:left="1260" w:hanging="420"/>
      </w:pPr>
      <w:rPr>
        <w:rStyle w:val="20"/>
      </w:rPr>
    </w:lvl>
    <w:lvl w:ilvl="3" w:tentative="0">
      <w:start w:val="1"/>
      <w:numFmt w:val="decimal"/>
      <w:lvlText w:val="%1."/>
      <w:lvlJc w:val="left"/>
      <w:pPr>
        <w:widowControl/>
        <w:spacing w:line="240" w:lineRule="auto"/>
        <w:ind w:left="1680" w:hanging="420"/>
      </w:pPr>
      <w:rPr>
        <w:rStyle w:val="20"/>
      </w:rPr>
    </w:lvl>
    <w:lvl w:ilvl="4" w:tentative="0">
      <w:start w:val="1"/>
      <w:numFmt w:val="lowerLetter"/>
      <w:lvlText w:val="%1)"/>
      <w:lvlJc w:val="left"/>
      <w:pPr>
        <w:widowControl/>
        <w:spacing w:line="240" w:lineRule="auto"/>
        <w:ind w:left="2100" w:hanging="420"/>
      </w:pPr>
      <w:rPr>
        <w:rStyle w:val="20"/>
      </w:rPr>
    </w:lvl>
    <w:lvl w:ilvl="5" w:tentative="0">
      <w:start w:val="1"/>
      <w:numFmt w:val="lowerRoman"/>
      <w:lvlText w:val="%1."/>
      <w:lvlJc w:val="right"/>
      <w:pPr>
        <w:widowControl/>
        <w:spacing w:line="240" w:lineRule="auto"/>
        <w:ind w:left="2520" w:hanging="420"/>
      </w:pPr>
      <w:rPr>
        <w:rStyle w:val="20"/>
      </w:rPr>
    </w:lvl>
    <w:lvl w:ilvl="6" w:tentative="0">
      <w:start w:val="1"/>
      <w:numFmt w:val="decimal"/>
      <w:lvlText w:val="%1."/>
      <w:lvlJc w:val="left"/>
      <w:pPr>
        <w:widowControl/>
        <w:spacing w:line="240" w:lineRule="auto"/>
        <w:ind w:left="2940" w:hanging="420"/>
      </w:pPr>
      <w:rPr>
        <w:rStyle w:val="20"/>
      </w:rPr>
    </w:lvl>
    <w:lvl w:ilvl="7" w:tentative="0">
      <w:start w:val="1"/>
      <w:numFmt w:val="lowerLetter"/>
      <w:lvlText w:val="%1)"/>
      <w:lvlJc w:val="left"/>
      <w:pPr>
        <w:widowControl/>
        <w:spacing w:line="240" w:lineRule="auto"/>
        <w:ind w:left="3360" w:hanging="420"/>
      </w:pPr>
      <w:rPr>
        <w:rStyle w:val="20"/>
      </w:rPr>
    </w:lvl>
    <w:lvl w:ilvl="8" w:tentative="0">
      <w:start w:val="1"/>
      <w:numFmt w:val="lowerRoman"/>
      <w:lvlText w:val="%1."/>
      <w:lvlJc w:val="right"/>
      <w:pPr>
        <w:widowControl/>
        <w:spacing w:line="240" w:lineRule="auto"/>
        <w:ind w:left="3780" w:hanging="420"/>
      </w:pPr>
      <w:rPr>
        <w:rStyle w:val="20"/>
      </w:rPr>
    </w:lvl>
  </w:abstractNum>
  <w:abstractNum w:abstractNumId="14">
    <w:nsid w:val="00000018"/>
    <w:multiLevelType w:val="multilevel"/>
    <w:tmpl w:val="00000018"/>
    <w:lvl w:ilvl="0" w:tentative="0">
      <w:start w:val="1"/>
      <w:numFmt w:val="decimal"/>
      <w:lvlText w:val="（%1）"/>
      <w:lvlJc w:val="left"/>
      <w:pPr>
        <w:widowControl/>
        <w:spacing w:line="240" w:lineRule="auto"/>
        <w:ind w:left="1200" w:hanging="720"/>
      </w:pPr>
      <w:rPr>
        <w:rStyle w:val="20"/>
      </w:rPr>
    </w:lvl>
    <w:lvl w:ilvl="1" w:tentative="0">
      <w:start w:val="1"/>
      <w:numFmt w:val="decimal"/>
      <w:lvlText w:val="（%1）"/>
      <w:lvlJc w:val="left"/>
      <w:pPr>
        <w:widowControl/>
        <w:spacing w:line="240" w:lineRule="auto"/>
        <w:ind w:left="1140" w:hanging="720"/>
      </w:pPr>
      <w:rPr>
        <w:rStyle w:val="20"/>
      </w:rPr>
    </w:lvl>
    <w:lvl w:ilvl="2" w:tentative="0">
      <w:start w:val="1"/>
      <w:numFmt w:val="lowerRoman"/>
      <w:lvlText w:val="%1."/>
      <w:lvlJc w:val="right"/>
      <w:pPr>
        <w:widowControl/>
        <w:spacing w:line="240" w:lineRule="auto"/>
        <w:ind w:left="1260" w:hanging="420"/>
      </w:pPr>
      <w:rPr>
        <w:rStyle w:val="20"/>
      </w:rPr>
    </w:lvl>
    <w:lvl w:ilvl="3" w:tentative="0">
      <w:start w:val="1"/>
      <w:numFmt w:val="decimal"/>
      <w:lvlText w:val="%1."/>
      <w:lvlJc w:val="left"/>
      <w:pPr>
        <w:widowControl/>
        <w:spacing w:line="240" w:lineRule="auto"/>
        <w:ind w:left="1680" w:hanging="420"/>
      </w:pPr>
      <w:rPr>
        <w:rStyle w:val="20"/>
      </w:rPr>
    </w:lvl>
    <w:lvl w:ilvl="4" w:tentative="0">
      <w:start w:val="1"/>
      <w:numFmt w:val="lowerLetter"/>
      <w:lvlText w:val="%1)"/>
      <w:lvlJc w:val="left"/>
      <w:pPr>
        <w:widowControl/>
        <w:spacing w:line="240" w:lineRule="auto"/>
        <w:ind w:left="2100" w:hanging="420"/>
      </w:pPr>
      <w:rPr>
        <w:rStyle w:val="20"/>
      </w:rPr>
    </w:lvl>
    <w:lvl w:ilvl="5" w:tentative="0">
      <w:start w:val="1"/>
      <w:numFmt w:val="lowerRoman"/>
      <w:lvlText w:val="%1."/>
      <w:lvlJc w:val="right"/>
      <w:pPr>
        <w:widowControl/>
        <w:spacing w:line="240" w:lineRule="auto"/>
        <w:ind w:left="2520" w:hanging="420"/>
      </w:pPr>
      <w:rPr>
        <w:rStyle w:val="20"/>
      </w:rPr>
    </w:lvl>
    <w:lvl w:ilvl="6" w:tentative="0">
      <w:start w:val="1"/>
      <w:numFmt w:val="decimal"/>
      <w:lvlText w:val="%1."/>
      <w:lvlJc w:val="left"/>
      <w:pPr>
        <w:widowControl/>
        <w:spacing w:line="240" w:lineRule="auto"/>
        <w:ind w:left="2940" w:hanging="420"/>
      </w:pPr>
      <w:rPr>
        <w:rStyle w:val="20"/>
      </w:rPr>
    </w:lvl>
    <w:lvl w:ilvl="7" w:tentative="0">
      <w:start w:val="1"/>
      <w:numFmt w:val="lowerLetter"/>
      <w:lvlText w:val="%1)"/>
      <w:lvlJc w:val="left"/>
      <w:pPr>
        <w:widowControl/>
        <w:spacing w:line="240" w:lineRule="auto"/>
        <w:ind w:left="3360" w:hanging="420"/>
      </w:pPr>
      <w:rPr>
        <w:rStyle w:val="20"/>
      </w:rPr>
    </w:lvl>
    <w:lvl w:ilvl="8" w:tentative="0">
      <w:start w:val="1"/>
      <w:numFmt w:val="lowerRoman"/>
      <w:lvlText w:val="%1."/>
      <w:lvlJc w:val="right"/>
      <w:pPr>
        <w:widowControl/>
        <w:spacing w:line="240" w:lineRule="auto"/>
        <w:ind w:left="3780" w:hanging="420"/>
      </w:pPr>
      <w:rPr>
        <w:rStyle w:val="20"/>
      </w:rPr>
    </w:lvl>
  </w:abstractNum>
  <w:abstractNum w:abstractNumId="15">
    <w:nsid w:val="0000001C"/>
    <w:multiLevelType w:val="multilevel"/>
    <w:tmpl w:val="0000001C"/>
    <w:lvl w:ilvl="0" w:tentative="0">
      <w:start w:val="1"/>
      <w:numFmt w:val="decimal"/>
      <w:lvlText w:val="（%1）"/>
      <w:lvlJc w:val="left"/>
      <w:pPr>
        <w:widowControl/>
        <w:spacing w:line="240" w:lineRule="auto"/>
        <w:ind w:left="1200" w:hanging="720"/>
      </w:pPr>
      <w:rPr>
        <w:rStyle w:val="20"/>
      </w:rPr>
    </w:lvl>
    <w:lvl w:ilvl="1" w:tentative="0">
      <w:start w:val="1"/>
      <w:numFmt w:val="lowerLetter"/>
      <w:lvlText w:val="%1)"/>
      <w:lvlJc w:val="left"/>
      <w:pPr>
        <w:widowControl/>
        <w:spacing w:line="240" w:lineRule="auto"/>
        <w:ind w:left="840" w:hanging="420"/>
      </w:pPr>
      <w:rPr>
        <w:rStyle w:val="20"/>
      </w:rPr>
    </w:lvl>
    <w:lvl w:ilvl="2" w:tentative="0">
      <w:start w:val="1"/>
      <w:numFmt w:val="lowerRoman"/>
      <w:lvlText w:val="%1."/>
      <w:lvlJc w:val="right"/>
      <w:pPr>
        <w:widowControl/>
        <w:spacing w:line="240" w:lineRule="auto"/>
        <w:ind w:left="1260" w:hanging="420"/>
      </w:pPr>
      <w:rPr>
        <w:rStyle w:val="20"/>
      </w:rPr>
    </w:lvl>
    <w:lvl w:ilvl="3" w:tentative="0">
      <w:start w:val="1"/>
      <w:numFmt w:val="decimal"/>
      <w:lvlText w:val="%1."/>
      <w:lvlJc w:val="left"/>
      <w:pPr>
        <w:widowControl/>
        <w:spacing w:line="240" w:lineRule="auto"/>
        <w:ind w:left="1680" w:hanging="420"/>
      </w:pPr>
      <w:rPr>
        <w:rStyle w:val="20"/>
      </w:rPr>
    </w:lvl>
    <w:lvl w:ilvl="4" w:tentative="0">
      <w:start w:val="1"/>
      <w:numFmt w:val="lowerLetter"/>
      <w:lvlText w:val="%1)"/>
      <w:lvlJc w:val="left"/>
      <w:pPr>
        <w:widowControl/>
        <w:spacing w:line="240" w:lineRule="auto"/>
        <w:ind w:left="2100" w:hanging="420"/>
      </w:pPr>
      <w:rPr>
        <w:rStyle w:val="20"/>
      </w:rPr>
    </w:lvl>
    <w:lvl w:ilvl="5" w:tentative="0">
      <w:start w:val="1"/>
      <w:numFmt w:val="lowerRoman"/>
      <w:lvlText w:val="%1."/>
      <w:lvlJc w:val="right"/>
      <w:pPr>
        <w:widowControl/>
        <w:spacing w:line="240" w:lineRule="auto"/>
        <w:ind w:left="2520" w:hanging="420"/>
      </w:pPr>
      <w:rPr>
        <w:rStyle w:val="20"/>
      </w:rPr>
    </w:lvl>
    <w:lvl w:ilvl="6" w:tentative="0">
      <w:start w:val="1"/>
      <w:numFmt w:val="decimal"/>
      <w:lvlText w:val="%1."/>
      <w:lvlJc w:val="left"/>
      <w:pPr>
        <w:widowControl/>
        <w:spacing w:line="240" w:lineRule="auto"/>
        <w:ind w:left="2940" w:hanging="420"/>
      </w:pPr>
      <w:rPr>
        <w:rStyle w:val="20"/>
      </w:rPr>
    </w:lvl>
    <w:lvl w:ilvl="7" w:tentative="0">
      <w:start w:val="1"/>
      <w:numFmt w:val="lowerLetter"/>
      <w:lvlText w:val="%1)"/>
      <w:lvlJc w:val="left"/>
      <w:pPr>
        <w:widowControl/>
        <w:spacing w:line="240" w:lineRule="auto"/>
        <w:ind w:left="3360" w:hanging="420"/>
      </w:pPr>
      <w:rPr>
        <w:rStyle w:val="20"/>
      </w:rPr>
    </w:lvl>
    <w:lvl w:ilvl="8" w:tentative="0">
      <w:start w:val="1"/>
      <w:numFmt w:val="lowerRoman"/>
      <w:lvlText w:val="%1."/>
      <w:lvlJc w:val="right"/>
      <w:pPr>
        <w:widowControl/>
        <w:spacing w:line="240" w:lineRule="auto"/>
        <w:ind w:left="3780" w:hanging="420"/>
      </w:pPr>
      <w:rPr>
        <w:rStyle w:val="20"/>
      </w:rPr>
    </w:lvl>
  </w:abstractNum>
  <w:abstractNum w:abstractNumId="16">
    <w:nsid w:val="0000001E"/>
    <w:multiLevelType w:val="multilevel"/>
    <w:tmpl w:val="0000001E"/>
    <w:lvl w:ilvl="0" w:tentative="0">
      <w:start w:val="1"/>
      <w:numFmt w:val="decimal"/>
      <w:lvlText w:val="（%1）"/>
      <w:lvlJc w:val="left"/>
      <w:pPr>
        <w:widowControl/>
        <w:spacing w:line="240" w:lineRule="auto"/>
        <w:ind w:left="1140" w:hanging="720"/>
      </w:pPr>
      <w:rPr>
        <w:rStyle w:val="20"/>
      </w:rPr>
    </w:lvl>
    <w:lvl w:ilvl="1" w:tentative="0">
      <w:start w:val="1"/>
      <w:numFmt w:val="lowerLetter"/>
      <w:lvlText w:val="%1)"/>
      <w:lvlJc w:val="left"/>
      <w:pPr>
        <w:widowControl/>
        <w:spacing w:line="240" w:lineRule="auto"/>
        <w:ind w:left="840" w:hanging="420"/>
      </w:pPr>
      <w:rPr>
        <w:rStyle w:val="20"/>
      </w:rPr>
    </w:lvl>
    <w:lvl w:ilvl="2" w:tentative="0">
      <w:start w:val="1"/>
      <w:numFmt w:val="lowerRoman"/>
      <w:lvlText w:val="%1."/>
      <w:lvlJc w:val="right"/>
      <w:pPr>
        <w:widowControl/>
        <w:spacing w:line="240" w:lineRule="auto"/>
        <w:ind w:left="1260" w:hanging="420"/>
      </w:pPr>
      <w:rPr>
        <w:rStyle w:val="20"/>
      </w:rPr>
    </w:lvl>
    <w:lvl w:ilvl="3" w:tentative="0">
      <w:start w:val="1"/>
      <w:numFmt w:val="decimal"/>
      <w:lvlText w:val="%1."/>
      <w:lvlJc w:val="left"/>
      <w:pPr>
        <w:widowControl/>
        <w:spacing w:line="240" w:lineRule="auto"/>
        <w:ind w:left="1680" w:hanging="420"/>
      </w:pPr>
      <w:rPr>
        <w:rStyle w:val="20"/>
      </w:rPr>
    </w:lvl>
    <w:lvl w:ilvl="4" w:tentative="0">
      <w:start w:val="1"/>
      <w:numFmt w:val="lowerLetter"/>
      <w:lvlText w:val="%1)"/>
      <w:lvlJc w:val="left"/>
      <w:pPr>
        <w:widowControl/>
        <w:spacing w:line="240" w:lineRule="auto"/>
        <w:ind w:left="2100" w:hanging="420"/>
      </w:pPr>
      <w:rPr>
        <w:rStyle w:val="20"/>
      </w:rPr>
    </w:lvl>
    <w:lvl w:ilvl="5" w:tentative="0">
      <w:start w:val="1"/>
      <w:numFmt w:val="lowerRoman"/>
      <w:lvlText w:val="%1."/>
      <w:lvlJc w:val="right"/>
      <w:pPr>
        <w:widowControl/>
        <w:spacing w:line="240" w:lineRule="auto"/>
        <w:ind w:left="2520" w:hanging="420"/>
      </w:pPr>
      <w:rPr>
        <w:rStyle w:val="20"/>
      </w:rPr>
    </w:lvl>
    <w:lvl w:ilvl="6" w:tentative="0">
      <w:start w:val="1"/>
      <w:numFmt w:val="decimal"/>
      <w:lvlText w:val="%1."/>
      <w:lvlJc w:val="left"/>
      <w:pPr>
        <w:widowControl/>
        <w:spacing w:line="240" w:lineRule="auto"/>
        <w:ind w:left="2940" w:hanging="420"/>
      </w:pPr>
      <w:rPr>
        <w:rStyle w:val="20"/>
      </w:rPr>
    </w:lvl>
    <w:lvl w:ilvl="7" w:tentative="0">
      <w:start w:val="1"/>
      <w:numFmt w:val="lowerLetter"/>
      <w:lvlText w:val="%1)"/>
      <w:lvlJc w:val="left"/>
      <w:pPr>
        <w:widowControl/>
        <w:spacing w:line="240" w:lineRule="auto"/>
        <w:ind w:left="3360" w:hanging="420"/>
      </w:pPr>
      <w:rPr>
        <w:rStyle w:val="20"/>
      </w:rPr>
    </w:lvl>
    <w:lvl w:ilvl="8" w:tentative="0">
      <w:start w:val="1"/>
      <w:numFmt w:val="lowerRoman"/>
      <w:lvlText w:val="%1."/>
      <w:lvlJc w:val="right"/>
      <w:pPr>
        <w:widowControl/>
        <w:spacing w:line="240" w:lineRule="auto"/>
        <w:ind w:left="3780" w:hanging="420"/>
      </w:pPr>
      <w:rPr>
        <w:rStyle w:val="20"/>
      </w:rPr>
    </w:lvl>
  </w:abstractNum>
  <w:abstractNum w:abstractNumId="17">
    <w:nsid w:val="00000021"/>
    <w:multiLevelType w:val="multilevel"/>
    <w:tmpl w:val="00000021"/>
    <w:lvl w:ilvl="0" w:tentative="0">
      <w:start w:val="1"/>
      <w:numFmt w:val="decimal"/>
      <w:lvlText w:val="%1、"/>
      <w:lvlJc w:val="left"/>
      <w:pPr>
        <w:widowControl/>
        <w:spacing w:line="240" w:lineRule="auto"/>
        <w:ind w:left="840" w:hanging="360"/>
      </w:pPr>
      <w:rPr>
        <w:rStyle w:val="20"/>
      </w:rPr>
    </w:lvl>
    <w:lvl w:ilvl="1" w:tentative="0">
      <w:start w:val="1"/>
      <w:numFmt w:val="lowerLetter"/>
      <w:lvlText w:val="%1)"/>
      <w:lvlJc w:val="left"/>
      <w:pPr>
        <w:widowControl/>
        <w:spacing w:line="240" w:lineRule="auto"/>
        <w:ind w:left="840" w:hanging="420"/>
      </w:pPr>
      <w:rPr>
        <w:rStyle w:val="20"/>
      </w:rPr>
    </w:lvl>
    <w:lvl w:ilvl="2" w:tentative="0">
      <w:start w:val="1"/>
      <w:numFmt w:val="lowerRoman"/>
      <w:lvlText w:val="%1."/>
      <w:lvlJc w:val="right"/>
      <w:pPr>
        <w:widowControl/>
        <w:spacing w:line="240" w:lineRule="auto"/>
        <w:ind w:left="1260" w:hanging="420"/>
      </w:pPr>
      <w:rPr>
        <w:rStyle w:val="20"/>
      </w:rPr>
    </w:lvl>
    <w:lvl w:ilvl="3" w:tentative="0">
      <w:start w:val="1"/>
      <w:numFmt w:val="decimal"/>
      <w:lvlText w:val="%1."/>
      <w:lvlJc w:val="left"/>
      <w:pPr>
        <w:widowControl/>
        <w:spacing w:line="240" w:lineRule="auto"/>
        <w:ind w:left="1680" w:hanging="420"/>
      </w:pPr>
      <w:rPr>
        <w:rStyle w:val="20"/>
      </w:rPr>
    </w:lvl>
    <w:lvl w:ilvl="4" w:tentative="0">
      <w:start w:val="1"/>
      <w:numFmt w:val="lowerLetter"/>
      <w:lvlText w:val="%1)"/>
      <w:lvlJc w:val="left"/>
      <w:pPr>
        <w:widowControl/>
        <w:spacing w:line="240" w:lineRule="auto"/>
        <w:ind w:left="2100" w:hanging="420"/>
      </w:pPr>
      <w:rPr>
        <w:rStyle w:val="20"/>
      </w:rPr>
    </w:lvl>
    <w:lvl w:ilvl="5" w:tentative="0">
      <w:start w:val="1"/>
      <w:numFmt w:val="lowerRoman"/>
      <w:lvlText w:val="%1."/>
      <w:lvlJc w:val="right"/>
      <w:pPr>
        <w:widowControl/>
        <w:spacing w:line="240" w:lineRule="auto"/>
        <w:ind w:left="2520" w:hanging="420"/>
      </w:pPr>
      <w:rPr>
        <w:rStyle w:val="20"/>
      </w:rPr>
    </w:lvl>
    <w:lvl w:ilvl="6" w:tentative="0">
      <w:start w:val="1"/>
      <w:numFmt w:val="decimal"/>
      <w:lvlText w:val="%1."/>
      <w:lvlJc w:val="left"/>
      <w:pPr>
        <w:widowControl/>
        <w:spacing w:line="240" w:lineRule="auto"/>
        <w:ind w:left="2940" w:hanging="420"/>
      </w:pPr>
      <w:rPr>
        <w:rStyle w:val="20"/>
      </w:rPr>
    </w:lvl>
    <w:lvl w:ilvl="7" w:tentative="0">
      <w:start w:val="1"/>
      <w:numFmt w:val="lowerLetter"/>
      <w:lvlText w:val="%1)"/>
      <w:lvlJc w:val="left"/>
      <w:pPr>
        <w:widowControl/>
        <w:spacing w:line="240" w:lineRule="auto"/>
        <w:ind w:left="3360" w:hanging="420"/>
      </w:pPr>
      <w:rPr>
        <w:rStyle w:val="20"/>
      </w:rPr>
    </w:lvl>
    <w:lvl w:ilvl="8" w:tentative="0">
      <w:start w:val="1"/>
      <w:numFmt w:val="lowerRoman"/>
      <w:lvlText w:val="%1."/>
      <w:lvlJc w:val="right"/>
      <w:pPr>
        <w:widowControl/>
        <w:spacing w:line="240" w:lineRule="auto"/>
        <w:ind w:left="3780" w:hanging="420"/>
      </w:pPr>
      <w:rPr>
        <w:rStyle w:val="20"/>
      </w:rPr>
    </w:lvl>
  </w:abstractNum>
  <w:abstractNum w:abstractNumId="18">
    <w:nsid w:val="00000022"/>
    <w:multiLevelType w:val="multilevel"/>
    <w:tmpl w:val="00000022"/>
    <w:lvl w:ilvl="0" w:tentative="0">
      <w:start w:val="1"/>
      <w:numFmt w:val="decimal"/>
      <w:lvlText w:val="（%1）"/>
      <w:lvlJc w:val="left"/>
      <w:pPr>
        <w:widowControl/>
        <w:spacing w:line="240" w:lineRule="auto"/>
        <w:ind w:left="1200" w:hanging="720"/>
      </w:pPr>
      <w:rPr>
        <w:rStyle w:val="20"/>
      </w:rPr>
    </w:lvl>
    <w:lvl w:ilvl="1" w:tentative="0">
      <w:start w:val="1"/>
      <w:numFmt w:val="lowerLetter"/>
      <w:lvlText w:val="%1)"/>
      <w:lvlJc w:val="left"/>
      <w:pPr>
        <w:widowControl/>
        <w:spacing w:line="240" w:lineRule="auto"/>
        <w:ind w:left="840" w:hanging="420"/>
      </w:pPr>
      <w:rPr>
        <w:rStyle w:val="20"/>
      </w:rPr>
    </w:lvl>
    <w:lvl w:ilvl="2" w:tentative="0">
      <w:start w:val="1"/>
      <w:numFmt w:val="lowerRoman"/>
      <w:lvlText w:val="%1."/>
      <w:lvlJc w:val="right"/>
      <w:pPr>
        <w:widowControl/>
        <w:spacing w:line="240" w:lineRule="auto"/>
        <w:ind w:left="1260" w:hanging="420"/>
      </w:pPr>
      <w:rPr>
        <w:rStyle w:val="20"/>
      </w:rPr>
    </w:lvl>
    <w:lvl w:ilvl="3" w:tentative="0">
      <w:start w:val="1"/>
      <w:numFmt w:val="decimal"/>
      <w:lvlText w:val="%1."/>
      <w:lvlJc w:val="left"/>
      <w:pPr>
        <w:widowControl/>
        <w:spacing w:line="240" w:lineRule="auto"/>
        <w:ind w:left="1680" w:hanging="420"/>
      </w:pPr>
      <w:rPr>
        <w:rStyle w:val="20"/>
      </w:rPr>
    </w:lvl>
    <w:lvl w:ilvl="4" w:tentative="0">
      <w:start w:val="1"/>
      <w:numFmt w:val="lowerLetter"/>
      <w:lvlText w:val="%1)"/>
      <w:lvlJc w:val="left"/>
      <w:pPr>
        <w:widowControl/>
        <w:spacing w:line="240" w:lineRule="auto"/>
        <w:ind w:left="2100" w:hanging="420"/>
      </w:pPr>
      <w:rPr>
        <w:rStyle w:val="20"/>
      </w:rPr>
    </w:lvl>
    <w:lvl w:ilvl="5" w:tentative="0">
      <w:start w:val="1"/>
      <w:numFmt w:val="lowerRoman"/>
      <w:lvlText w:val="%1."/>
      <w:lvlJc w:val="right"/>
      <w:pPr>
        <w:widowControl/>
        <w:spacing w:line="240" w:lineRule="auto"/>
        <w:ind w:left="2520" w:hanging="420"/>
      </w:pPr>
      <w:rPr>
        <w:rStyle w:val="20"/>
      </w:rPr>
    </w:lvl>
    <w:lvl w:ilvl="6" w:tentative="0">
      <w:start w:val="1"/>
      <w:numFmt w:val="decimal"/>
      <w:lvlText w:val="%1."/>
      <w:lvlJc w:val="left"/>
      <w:pPr>
        <w:widowControl/>
        <w:spacing w:line="240" w:lineRule="auto"/>
        <w:ind w:left="2940" w:hanging="420"/>
      </w:pPr>
      <w:rPr>
        <w:rStyle w:val="20"/>
      </w:rPr>
    </w:lvl>
    <w:lvl w:ilvl="7" w:tentative="0">
      <w:start w:val="1"/>
      <w:numFmt w:val="lowerLetter"/>
      <w:lvlText w:val="%1)"/>
      <w:lvlJc w:val="left"/>
      <w:pPr>
        <w:widowControl/>
        <w:spacing w:line="240" w:lineRule="auto"/>
        <w:ind w:left="3360" w:hanging="420"/>
      </w:pPr>
      <w:rPr>
        <w:rStyle w:val="20"/>
      </w:rPr>
    </w:lvl>
    <w:lvl w:ilvl="8" w:tentative="0">
      <w:start w:val="1"/>
      <w:numFmt w:val="lowerRoman"/>
      <w:lvlText w:val="%1."/>
      <w:lvlJc w:val="right"/>
      <w:pPr>
        <w:widowControl/>
        <w:spacing w:line="240" w:lineRule="auto"/>
        <w:ind w:left="3780" w:hanging="420"/>
      </w:pPr>
      <w:rPr>
        <w:rStyle w:val="20"/>
      </w:rPr>
    </w:lvl>
  </w:abstractNum>
  <w:abstractNum w:abstractNumId="19">
    <w:nsid w:val="00000023"/>
    <w:multiLevelType w:val="multilevel"/>
    <w:tmpl w:val="00000023"/>
    <w:lvl w:ilvl="0" w:tentative="0">
      <w:start w:val="1"/>
      <w:numFmt w:val="decimal"/>
      <w:lvlText w:val="%1."/>
      <w:lvlJc w:val="left"/>
      <w:pPr>
        <w:widowControl/>
        <w:spacing w:line="240" w:lineRule="auto"/>
        <w:ind w:left="709" w:hanging="709"/>
      </w:pPr>
      <w:rPr>
        <w:rStyle w:val="20"/>
      </w:rPr>
    </w:lvl>
    <w:lvl w:ilvl="1" w:tentative="0">
      <w:start w:val="1"/>
      <w:numFmt w:val="decimal"/>
      <w:lvlText w:val="%1.%2"/>
      <w:lvlJc w:val="left"/>
      <w:pPr>
        <w:widowControl/>
        <w:spacing w:line="240" w:lineRule="auto"/>
        <w:ind w:left="709" w:hanging="709"/>
      </w:pPr>
      <w:rPr>
        <w:rStyle w:val="20"/>
      </w:rPr>
    </w:lvl>
    <w:lvl w:ilvl="2" w:tentative="0">
      <w:start w:val="1"/>
      <w:numFmt w:val="decimal"/>
      <w:lvlText w:val="%1.%2.%3."/>
      <w:lvlJc w:val="left"/>
      <w:pPr>
        <w:widowControl/>
        <w:spacing w:line="240" w:lineRule="auto"/>
        <w:ind w:left="425" w:hanging="425"/>
      </w:pPr>
      <w:rPr>
        <w:rStyle w:val="20"/>
      </w:rPr>
    </w:lvl>
    <w:lvl w:ilvl="3" w:tentative="0">
      <w:start w:val="1"/>
      <w:numFmt w:val="decimal"/>
      <w:lvlText w:val="%1.%2.%3.%4."/>
      <w:lvlJc w:val="left"/>
      <w:pPr>
        <w:widowControl/>
        <w:spacing w:line="240" w:lineRule="auto"/>
        <w:ind w:left="851" w:hanging="851"/>
      </w:pPr>
      <w:rPr>
        <w:rStyle w:val="20"/>
      </w:rPr>
    </w:lvl>
    <w:lvl w:ilvl="4" w:tentative="0">
      <w:start w:val="1"/>
      <w:numFmt w:val="decimal"/>
      <w:lvlText w:val="%1.%2.%3.%4.%5."/>
      <w:lvlJc w:val="left"/>
      <w:pPr>
        <w:widowControl/>
        <w:spacing w:line="240" w:lineRule="auto"/>
        <w:ind w:left="992" w:hanging="992"/>
      </w:pPr>
      <w:rPr>
        <w:rStyle w:val="20"/>
      </w:rPr>
    </w:lvl>
    <w:lvl w:ilvl="5" w:tentative="0">
      <w:start w:val="1"/>
      <w:numFmt w:val="decimal"/>
      <w:lvlText w:val="%1.%2.%3.%4.%5.%6."/>
      <w:lvlJc w:val="left"/>
      <w:pPr>
        <w:widowControl/>
        <w:spacing w:line="240" w:lineRule="auto"/>
        <w:ind w:left="1134" w:hanging="1134"/>
      </w:pPr>
      <w:rPr>
        <w:rStyle w:val="20"/>
      </w:rPr>
    </w:lvl>
    <w:lvl w:ilvl="6" w:tentative="0">
      <w:start w:val="1"/>
      <w:numFmt w:val="decimal"/>
      <w:lvlText w:val="%1.%2.%3.%4.%5.%6.%7."/>
      <w:lvlJc w:val="left"/>
      <w:pPr>
        <w:widowControl/>
        <w:spacing w:line="240" w:lineRule="auto"/>
        <w:ind w:left="1276" w:hanging="1276"/>
      </w:pPr>
      <w:rPr>
        <w:rStyle w:val="20"/>
      </w:rPr>
    </w:lvl>
    <w:lvl w:ilvl="7" w:tentative="0">
      <w:start w:val="1"/>
      <w:numFmt w:val="decimal"/>
      <w:lvlText w:val="%1.%2.%3.%4.%5.%6.%7.%8."/>
      <w:lvlJc w:val="left"/>
      <w:pPr>
        <w:widowControl/>
        <w:spacing w:line="240" w:lineRule="auto"/>
        <w:ind w:left="1418" w:hanging="1418"/>
      </w:pPr>
      <w:rPr>
        <w:rStyle w:val="20"/>
      </w:rPr>
    </w:lvl>
    <w:lvl w:ilvl="8" w:tentative="0">
      <w:start w:val="1"/>
      <w:numFmt w:val="decimal"/>
      <w:lvlText w:val="%1.%2.%3.%4.%5.%6.%7.%8.%9."/>
      <w:lvlJc w:val="left"/>
      <w:pPr>
        <w:widowControl/>
        <w:spacing w:line="240" w:lineRule="auto"/>
        <w:ind w:left="1559" w:hanging="1559"/>
      </w:pPr>
      <w:rPr>
        <w:rStyle w:val="20"/>
      </w:rPr>
    </w:lvl>
  </w:abstractNum>
  <w:abstractNum w:abstractNumId="20">
    <w:nsid w:val="00000024"/>
    <w:multiLevelType w:val="multilevel"/>
    <w:tmpl w:val="00000024"/>
    <w:lvl w:ilvl="0" w:tentative="0">
      <w:start w:val="1"/>
      <w:numFmt w:val="decimal"/>
      <w:lvlText w:val="%1、"/>
      <w:lvlJc w:val="left"/>
      <w:pPr>
        <w:widowControl/>
        <w:spacing w:line="240" w:lineRule="auto"/>
        <w:ind w:left="840" w:hanging="420"/>
      </w:pPr>
      <w:rPr>
        <w:rStyle w:val="20"/>
      </w:rPr>
    </w:lvl>
    <w:lvl w:ilvl="1" w:tentative="0">
      <w:start w:val="1"/>
      <w:numFmt w:val="chineseCountingThousand"/>
      <w:lvlText w:val="%1、"/>
      <w:lvlJc w:val="left"/>
      <w:pPr>
        <w:widowControl/>
        <w:spacing w:line="240" w:lineRule="auto"/>
        <w:ind w:left="420" w:hanging="420"/>
      </w:pPr>
      <w:rPr>
        <w:rStyle w:val="20"/>
      </w:rPr>
    </w:lvl>
    <w:lvl w:ilvl="2" w:tentative="0">
      <w:start w:val="1"/>
      <w:numFmt w:val="lowerRoman"/>
      <w:lvlText w:val="%1."/>
      <w:lvlJc w:val="right"/>
      <w:pPr>
        <w:widowControl/>
        <w:spacing w:line="240" w:lineRule="auto"/>
        <w:ind w:left="1260" w:hanging="420"/>
      </w:pPr>
      <w:rPr>
        <w:rStyle w:val="20"/>
      </w:rPr>
    </w:lvl>
    <w:lvl w:ilvl="3" w:tentative="0">
      <w:start w:val="1"/>
      <w:numFmt w:val="decimal"/>
      <w:lvlText w:val="%1."/>
      <w:lvlJc w:val="left"/>
      <w:pPr>
        <w:widowControl/>
        <w:spacing w:line="240" w:lineRule="auto"/>
        <w:ind w:left="1680" w:hanging="420"/>
      </w:pPr>
      <w:rPr>
        <w:rStyle w:val="20"/>
      </w:rPr>
    </w:lvl>
    <w:lvl w:ilvl="4" w:tentative="0">
      <w:start w:val="1"/>
      <w:numFmt w:val="lowerLetter"/>
      <w:lvlText w:val="%1)"/>
      <w:lvlJc w:val="left"/>
      <w:pPr>
        <w:widowControl/>
        <w:spacing w:line="240" w:lineRule="auto"/>
        <w:ind w:left="2100" w:hanging="420"/>
      </w:pPr>
      <w:rPr>
        <w:rStyle w:val="20"/>
      </w:rPr>
    </w:lvl>
    <w:lvl w:ilvl="5" w:tentative="0">
      <w:start w:val="1"/>
      <w:numFmt w:val="lowerRoman"/>
      <w:lvlText w:val="%1."/>
      <w:lvlJc w:val="right"/>
      <w:pPr>
        <w:widowControl/>
        <w:spacing w:line="240" w:lineRule="auto"/>
        <w:ind w:left="2520" w:hanging="420"/>
      </w:pPr>
      <w:rPr>
        <w:rStyle w:val="20"/>
      </w:rPr>
    </w:lvl>
    <w:lvl w:ilvl="6" w:tentative="0">
      <w:start w:val="1"/>
      <w:numFmt w:val="decimal"/>
      <w:lvlText w:val="%1."/>
      <w:lvlJc w:val="left"/>
      <w:pPr>
        <w:widowControl/>
        <w:spacing w:line="240" w:lineRule="auto"/>
        <w:ind w:left="2940" w:hanging="420"/>
      </w:pPr>
      <w:rPr>
        <w:rStyle w:val="20"/>
      </w:rPr>
    </w:lvl>
    <w:lvl w:ilvl="7" w:tentative="0">
      <w:start w:val="1"/>
      <w:numFmt w:val="lowerLetter"/>
      <w:lvlText w:val="%1)"/>
      <w:lvlJc w:val="left"/>
      <w:pPr>
        <w:widowControl/>
        <w:spacing w:line="240" w:lineRule="auto"/>
        <w:ind w:left="3360" w:hanging="420"/>
      </w:pPr>
      <w:rPr>
        <w:rStyle w:val="20"/>
      </w:rPr>
    </w:lvl>
    <w:lvl w:ilvl="8" w:tentative="0">
      <w:start w:val="1"/>
      <w:numFmt w:val="lowerRoman"/>
      <w:lvlText w:val="%1."/>
      <w:lvlJc w:val="right"/>
      <w:pPr>
        <w:widowControl/>
        <w:spacing w:line="240" w:lineRule="auto"/>
        <w:ind w:left="3780" w:hanging="420"/>
      </w:pPr>
      <w:rPr>
        <w:rStyle w:val="20"/>
      </w:rPr>
    </w:lvl>
  </w:abstractNum>
  <w:abstractNum w:abstractNumId="21">
    <w:nsid w:val="0926885B"/>
    <w:multiLevelType w:val="multilevel"/>
    <w:tmpl w:val="0926885B"/>
    <w:lvl w:ilvl="0" w:tentative="0">
      <w:start w:val="1"/>
      <w:numFmt w:val="decimal"/>
      <w:pStyle w:val="80"/>
      <w:lvlText w:val="%1."/>
      <w:lvlJc w:val="left"/>
      <w:pPr>
        <w:widowControl/>
        <w:spacing w:line="240" w:lineRule="auto"/>
        <w:ind w:left="851" w:hanging="709"/>
      </w:pPr>
      <w:rPr>
        <w:sz w:val="21"/>
        <w:szCs w:val="21"/>
      </w:rPr>
    </w:lvl>
    <w:lvl w:ilvl="1" w:tentative="0">
      <w:start w:val="1"/>
      <w:numFmt w:val="decimal"/>
      <w:lvlText w:val="%1.%2"/>
      <w:lvlJc w:val="left"/>
      <w:pPr>
        <w:widowControl/>
        <w:spacing w:line="240" w:lineRule="auto"/>
        <w:ind w:left="709" w:hanging="709"/>
      </w:pPr>
    </w:lvl>
    <w:lvl w:ilvl="2" w:tentative="0">
      <w:start w:val="1"/>
      <w:numFmt w:val="decimal"/>
      <w:lvlText w:val="%1.%2.%3."/>
      <w:lvlJc w:val="left"/>
      <w:pPr>
        <w:widowControl/>
        <w:spacing w:line="240" w:lineRule="auto"/>
        <w:ind w:left="425" w:hanging="425"/>
      </w:pPr>
    </w:lvl>
    <w:lvl w:ilvl="3" w:tentative="0">
      <w:start w:val="1"/>
      <w:numFmt w:val="decimal"/>
      <w:lvlText w:val="%1.%2.%3.%4."/>
      <w:lvlJc w:val="left"/>
      <w:pPr>
        <w:widowControl/>
        <w:spacing w:line="240" w:lineRule="auto"/>
        <w:ind w:left="851" w:hanging="851"/>
      </w:pPr>
    </w:lvl>
    <w:lvl w:ilvl="4" w:tentative="0">
      <w:start w:val="1"/>
      <w:numFmt w:val="decimal"/>
      <w:lvlText w:val="%1.%2.%3.%4.%5."/>
      <w:lvlJc w:val="left"/>
      <w:pPr>
        <w:widowControl/>
        <w:spacing w:line="240" w:lineRule="auto"/>
        <w:ind w:left="992" w:hanging="992"/>
      </w:pPr>
    </w:lvl>
    <w:lvl w:ilvl="5" w:tentative="0">
      <w:start w:val="1"/>
      <w:numFmt w:val="decimal"/>
      <w:lvlText w:val="%1.%2.%3.%4.%5.%6."/>
      <w:lvlJc w:val="left"/>
      <w:pPr>
        <w:widowControl/>
        <w:spacing w:line="240" w:lineRule="auto"/>
        <w:ind w:left="1134" w:hanging="1134"/>
      </w:pPr>
    </w:lvl>
    <w:lvl w:ilvl="6" w:tentative="0">
      <w:start w:val="1"/>
      <w:numFmt w:val="decimal"/>
      <w:lvlText w:val="%1.%2.%3.%4.%5.%6.%7."/>
      <w:lvlJc w:val="left"/>
      <w:pPr>
        <w:widowControl/>
        <w:spacing w:line="240" w:lineRule="auto"/>
        <w:ind w:left="1276" w:hanging="1276"/>
      </w:pPr>
    </w:lvl>
    <w:lvl w:ilvl="7" w:tentative="0">
      <w:start w:val="1"/>
      <w:numFmt w:val="decimal"/>
      <w:lvlText w:val="%1.%2.%3.%4.%5.%6.%7.%8."/>
      <w:lvlJc w:val="left"/>
      <w:pPr>
        <w:widowControl/>
        <w:spacing w:line="240" w:lineRule="auto"/>
        <w:ind w:left="1418" w:hanging="1418"/>
      </w:pPr>
    </w:lvl>
    <w:lvl w:ilvl="8" w:tentative="0">
      <w:start w:val="1"/>
      <w:numFmt w:val="decimal"/>
      <w:lvlText w:val="%1.%2.%3.%4.%5.%6.%7.%8.%9."/>
      <w:lvlJc w:val="left"/>
      <w:pPr>
        <w:widowControl/>
        <w:spacing w:line="240" w:lineRule="auto"/>
        <w:ind w:left="1559" w:hanging="1559"/>
      </w:pPr>
    </w:lvl>
  </w:abstractNum>
  <w:abstractNum w:abstractNumId="22">
    <w:nsid w:val="15D9F4EC"/>
    <w:multiLevelType w:val="multilevel"/>
    <w:tmpl w:val="15D9F4EC"/>
    <w:lvl w:ilvl="0" w:tentative="0">
      <w:start w:val="1"/>
      <w:numFmt w:val="decimal"/>
      <w:lvlText w:val="%1."/>
      <w:lvlJc w:val="left"/>
      <w:pPr>
        <w:widowControl/>
        <w:spacing w:line="240" w:lineRule="auto"/>
        <w:ind w:left="780" w:hanging="360"/>
      </w:pPr>
      <w:rPr>
        <w:rStyle w:val="20"/>
      </w:rPr>
    </w:lvl>
    <w:lvl w:ilvl="1" w:tentative="0">
      <w:start w:val="1"/>
      <w:numFmt w:val="lowerLetter"/>
      <w:lvlText w:val="%1)"/>
      <w:lvlJc w:val="left"/>
      <w:pPr>
        <w:widowControl/>
        <w:spacing w:line="240" w:lineRule="auto"/>
        <w:ind w:left="1260" w:hanging="420"/>
      </w:pPr>
      <w:rPr>
        <w:rStyle w:val="20"/>
      </w:rPr>
    </w:lvl>
    <w:lvl w:ilvl="2" w:tentative="0">
      <w:start w:val="1"/>
      <w:numFmt w:val="lowerRoman"/>
      <w:lvlText w:val="%1."/>
      <w:lvlJc w:val="right"/>
      <w:pPr>
        <w:widowControl/>
        <w:spacing w:line="240" w:lineRule="auto"/>
        <w:ind w:left="1680" w:hanging="420"/>
      </w:pPr>
      <w:rPr>
        <w:rStyle w:val="20"/>
      </w:rPr>
    </w:lvl>
    <w:lvl w:ilvl="3" w:tentative="0">
      <w:start w:val="1"/>
      <w:numFmt w:val="decimal"/>
      <w:lvlText w:val="%1."/>
      <w:lvlJc w:val="left"/>
      <w:pPr>
        <w:widowControl/>
        <w:spacing w:line="240" w:lineRule="auto"/>
        <w:ind w:left="2100" w:hanging="420"/>
      </w:pPr>
      <w:rPr>
        <w:rStyle w:val="20"/>
      </w:rPr>
    </w:lvl>
    <w:lvl w:ilvl="4" w:tentative="0">
      <w:start w:val="1"/>
      <w:numFmt w:val="lowerLetter"/>
      <w:lvlText w:val="%1)"/>
      <w:lvlJc w:val="left"/>
      <w:pPr>
        <w:widowControl/>
        <w:spacing w:line="240" w:lineRule="auto"/>
        <w:ind w:left="2520" w:hanging="420"/>
      </w:pPr>
      <w:rPr>
        <w:rStyle w:val="20"/>
      </w:rPr>
    </w:lvl>
    <w:lvl w:ilvl="5" w:tentative="0">
      <w:start w:val="1"/>
      <w:numFmt w:val="lowerRoman"/>
      <w:lvlText w:val="%1."/>
      <w:lvlJc w:val="right"/>
      <w:pPr>
        <w:widowControl/>
        <w:spacing w:line="240" w:lineRule="auto"/>
        <w:ind w:left="2940" w:hanging="420"/>
      </w:pPr>
      <w:rPr>
        <w:rStyle w:val="20"/>
      </w:rPr>
    </w:lvl>
    <w:lvl w:ilvl="6" w:tentative="0">
      <w:start w:val="1"/>
      <w:numFmt w:val="decimal"/>
      <w:lvlText w:val="%1."/>
      <w:lvlJc w:val="left"/>
      <w:pPr>
        <w:widowControl/>
        <w:spacing w:line="240" w:lineRule="auto"/>
        <w:ind w:left="3360" w:hanging="420"/>
      </w:pPr>
      <w:rPr>
        <w:rStyle w:val="20"/>
      </w:rPr>
    </w:lvl>
    <w:lvl w:ilvl="7" w:tentative="0">
      <w:start w:val="1"/>
      <w:numFmt w:val="lowerLetter"/>
      <w:lvlText w:val="%1)"/>
      <w:lvlJc w:val="left"/>
      <w:pPr>
        <w:widowControl/>
        <w:spacing w:line="240" w:lineRule="auto"/>
        <w:ind w:left="3780" w:hanging="420"/>
      </w:pPr>
      <w:rPr>
        <w:rStyle w:val="20"/>
      </w:rPr>
    </w:lvl>
    <w:lvl w:ilvl="8" w:tentative="0">
      <w:start w:val="1"/>
      <w:numFmt w:val="lowerRoman"/>
      <w:lvlText w:val="%1."/>
      <w:lvlJc w:val="right"/>
      <w:pPr>
        <w:widowControl/>
        <w:spacing w:line="240" w:lineRule="auto"/>
        <w:ind w:left="4200" w:hanging="420"/>
      </w:pPr>
      <w:rPr>
        <w:rStyle w:val="20"/>
      </w:rPr>
    </w:lvl>
  </w:abstractNum>
  <w:abstractNum w:abstractNumId="23">
    <w:nsid w:val="18B47632"/>
    <w:multiLevelType w:val="multilevel"/>
    <w:tmpl w:val="18B47632"/>
    <w:lvl w:ilvl="0" w:tentative="0">
      <w:start w:val="1"/>
      <w:numFmt w:val="decimal"/>
      <w:lvlText w:val="%1."/>
      <w:lvlJc w:val="left"/>
      <w:pPr>
        <w:widowControl/>
        <w:spacing w:line="240" w:lineRule="auto"/>
        <w:ind w:left="360" w:hanging="360"/>
      </w:pPr>
      <w:rPr>
        <w:rStyle w:val="20"/>
      </w:rPr>
    </w:lvl>
    <w:lvl w:ilvl="1" w:tentative="0">
      <w:start w:val="1"/>
      <w:numFmt w:val="lowerLetter"/>
      <w:lvlText w:val="%1)"/>
      <w:lvlJc w:val="left"/>
      <w:pPr>
        <w:widowControl/>
        <w:spacing w:line="240" w:lineRule="auto"/>
        <w:ind w:left="840" w:hanging="420"/>
      </w:pPr>
      <w:rPr>
        <w:rStyle w:val="20"/>
      </w:rPr>
    </w:lvl>
    <w:lvl w:ilvl="2" w:tentative="0">
      <w:start w:val="1"/>
      <w:numFmt w:val="lowerRoman"/>
      <w:lvlText w:val="%1."/>
      <w:lvlJc w:val="right"/>
      <w:pPr>
        <w:widowControl/>
        <w:spacing w:line="240" w:lineRule="auto"/>
        <w:ind w:left="1260" w:hanging="420"/>
      </w:pPr>
      <w:rPr>
        <w:rStyle w:val="20"/>
      </w:rPr>
    </w:lvl>
    <w:lvl w:ilvl="3" w:tentative="0">
      <w:start w:val="1"/>
      <w:numFmt w:val="decimal"/>
      <w:lvlText w:val="%1."/>
      <w:lvlJc w:val="left"/>
      <w:pPr>
        <w:widowControl/>
        <w:spacing w:line="240" w:lineRule="auto"/>
        <w:ind w:left="1680" w:hanging="420"/>
      </w:pPr>
      <w:rPr>
        <w:rStyle w:val="20"/>
      </w:rPr>
    </w:lvl>
    <w:lvl w:ilvl="4" w:tentative="0">
      <w:start w:val="1"/>
      <w:numFmt w:val="lowerLetter"/>
      <w:lvlText w:val="%1)"/>
      <w:lvlJc w:val="left"/>
      <w:pPr>
        <w:widowControl/>
        <w:spacing w:line="240" w:lineRule="auto"/>
        <w:ind w:left="2100" w:hanging="420"/>
      </w:pPr>
      <w:rPr>
        <w:rStyle w:val="20"/>
      </w:rPr>
    </w:lvl>
    <w:lvl w:ilvl="5" w:tentative="0">
      <w:start w:val="1"/>
      <w:numFmt w:val="lowerRoman"/>
      <w:lvlText w:val="%1."/>
      <w:lvlJc w:val="right"/>
      <w:pPr>
        <w:widowControl/>
        <w:spacing w:line="240" w:lineRule="auto"/>
        <w:ind w:left="2520" w:hanging="420"/>
      </w:pPr>
      <w:rPr>
        <w:rStyle w:val="20"/>
      </w:rPr>
    </w:lvl>
    <w:lvl w:ilvl="6" w:tentative="0">
      <w:start w:val="1"/>
      <w:numFmt w:val="decimal"/>
      <w:lvlText w:val="%1."/>
      <w:lvlJc w:val="left"/>
      <w:pPr>
        <w:widowControl/>
        <w:spacing w:line="240" w:lineRule="auto"/>
        <w:ind w:left="2940" w:hanging="420"/>
      </w:pPr>
      <w:rPr>
        <w:rStyle w:val="20"/>
      </w:rPr>
    </w:lvl>
    <w:lvl w:ilvl="7" w:tentative="0">
      <w:start w:val="1"/>
      <w:numFmt w:val="lowerLetter"/>
      <w:lvlText w:val="%1)"/>
      <w:lvlJc w:val="left"/>
      <w:pPr>
        <w:widowControl/>
        <w:spacing w:line="240" w:lineRule="auto"/>
        <w:ind w:left="3360" w:hanging="420"/>
      </w:pPr>
      <w:rPr>
        <w:rStyle w:val="20"/>
      </w:rPr>
    </w:lvl>
    <w:lvl w:ilvl="8" w:tentative="0">
      <w:start w:val="1"/>
      <w:numFmt w:val="lowerRoman"/>
      <w:lvlText w:val="%1."/>
      <w:lvlJc w:val="right"/>
      <w:pPr>
        <w:widowControl/>
        <w:spacing w:line="240" w:lineRule="auto"/>
        <w:ind w:left="3780" w:hanging="420"/>
      </w:pPr>
      <w:rPr>
        <w:rStyle w:val="20"/>
      </w:rPr>
    </w:lvl>
  </w:abstractNum>
  <w:abstractNum w:abstractNumId="24">
    <w:nsid w:val="3B401218"/>
    <w:multiLevelType w:val="multilevel"/>
    <w:tmpl w:val="3B401218"/>
    <w:lvl w:ilvl="0" w:tentative="0">
      <w:start w:val="1"/>
      <w:numFmt w:val="decimal"/>
      <w:lvlText w:val="%1."/>
      <w:lvlJc w:val="left"/>
      <w:pPr>
        <w:widowControl/>
        <w:spacing w:line="240" w:lineRule="auto"/>
        <w:ind w:left="425" w:hanging="425"/>
      </w:pPr>
    </w:lvl>
    <w:lvl w:ilvl="1" w:tentative="0">
      <w:start w:val="1"/>
      <w:numFmt w:val="decimal"/>
      <w:pStyle w:val="91"/>
      <w:lvlText w:val="%1.%2"/>
      <w:lvlJc w:val="left"/>
      <w:pPr>
        <w:widowControl/>
        <w:spacing w:line="240" w:lineRule="auto"/>
        <w:ind w:left="567" w:hanging="567"/>
      </w:pPr>
    </w:lvl>
    <w:lvl w:ilvl="2" w:tentative="0">
      <w:start w:val="1"/>
      <w:numFmt w:val="decimal"/>
      <w:lvlText w:val="%1.%2.%3."/>
      <w:lvlJc w:val="left"/>
      <w:pPr>
        <w:widowControl/>
        <w:spacing w:line="240" w:lineRule="auto"/>
        <w:ind w:left="709" w:hanging="709"/>
      </w:pPr>
    </w:lvl>
    <w:lvl w:ilvl="3" w:tentative="0">
      <w:start w:val="1"/>
      <w:numFmt w:val="decimal"/>
      <w:lvlText w:val="%1.%2.%3.%4."/>
      <w:lvlJc w:val="left"/>
      <w:pPr>
        <w:widowControl/>
        <w:spacing w:line="240" w:lineRule="auto"/>
        <w:ind w:left="851" w:hanging="851"/>
      </w:pPr>
    </w:lvl>
    <w:lvl w:ilvl="4" w:tentative="0">
      <w:start w:val="1"/>
      <w:numFmt w:val="decimal"/>
      <w:lvlText w:val="%1.%2.%3.%4.%5."/>
      <w:lvlJc w:val="left"/>
      <w:pPr>
        <w:widowControl/>
        <w:spacing w:line="240" w:lineRule="auto"/>
        <w:ind w:left="992" w:hanging="992"/>
      </w:pPr>
    </w:lvl>
    <w:lvl w:ilvl="5" w:tentative="0">
      <w:start w:val="1"/>
      <w:numFmt w:val="decimal"/>
      <w:lvlText w:val="%1.%2.%3.%4.%5.%6."/>
      <w:lvlJc w:val="left"/>
      <w:pPr>
        <w:widowControl/>
        <w:spacing w:line="240" w:lineRule="auto"/>
        <w:ind w:left="1134" w:hanging="1134"/>
      </w:pPr>
    </w:lvl>
    <w:lvl w:ilvl="6" w:tentative="0">
      <w:start w:val="1"/>
      <w:numFmt w:val="decimal"/>
      <w:lvlText w:val="%1.%2.%3.%4.%5.%6.%7."/>
      <w:lvlJc w:val="left"/>
      <w:pPr>
        <w:widowControl/>
        <w:spacing w:line="240" w:lineRule="auto"/>
        <w:ind w:left="1276" w:hanging="1276"/>
      </w:pPr>
    </w:lvl>
    <w:lvl w:ilvl="7" w:tentative="0">
      <w:start w:val="1"/>
      <w:numFmt w:val="decimal"/>
      <w:lvlText w:val="%1.%2.%3.%4.%5.%6.%7.%8."/>
      <w:lvlJc w:val="left"/>
      <w:pPr>
        <w:widowControl/>
        <w:spacing w:line="240" w:lineRule="auto"/>
        <w:ind w:left="1418" w:hanging="1418"/>
      </w:pPr>
    </w:lvl>
    <w:lvl w:ilvl="8" w:tentative="0">
      <w:start w:val="1"/>
      <w:numFmt w:val="decimal"/>
      <w:lvlText w:val="%1.%2.%3.%4.%5.%6.%7.%8.%9."/>
      <w:lvlJc w:val="left"/>
      <w:pPr>
        <w:widowControl/>
        <w:spacing w:line="240" w:lineRule="auto"/>
        <w:ind w:left="1559" w:hanging="1559"/>
      </w:pPr>
    </w:lvl>
  </w:abstractNum>
  <w:abstractNum w:abstractNumId="25">
    <w:nsid w:val="3EE9FC16"/>
    <w:multiLevelType w:val="multilevel"/>
    <w:tmpl w:val="3EE9FC16"/>
    <w:lvl w:ilvl="0" w:tentative="0">
      <w:start w:val="1"/>
      <w:numFmt w:val="chineseCountingThousand"/>
      <w:suff w:val="nothing"/>
      <w:lvlText w:val="第%1部分"/>
      <w:lvlJc w:val="center"/>
      <w:pPr>
        <w:widowControl/>
        <w:spacing w:line="240" w:lineRule="auto"/>
        <w:ind w:left="0" w:firstLine="288"/>
      </w:pPr>
      <w:rPr>
        <w:sz w:val="28"/>
        <w:szCs w:val="28"/>
      </w:rPr>
    </w:lvl>
    <w:lvl w:ilvl="1" w:tentative="0">
      <w:start w:val="1"/>
      <w:numFmt w:val="chineseCountingThousand"/>
      <w:pStyle w:val="87"/>
      <w:suff w:val="nothing"/>
      <w:lvlText w:val="%1、"/>
      <w:lvlJc w:val="left"/>
      <w:pPr>
        <w:widowControl/>
        <w:spacing w:line="240" w:lineRule="auto"/>
        <w:ind w:left="4536" w:firstLine="0"/>
      </w:pPr>
      <w:rPr>
        <w:rFonts w:ascii="宋体" w:hAnsi="宋体" w:eastAsia="宋体"/>
        <w:sz w:val="24"/>
        <w:szCs w:val="24"/>
      </w:rPr>
    </w:lvl>
    <w:lvl w:ilvl="2" w:tentative="0">
      <w:start w:val="1"/>
      <w:numFmt w:val="chineseCountingThousand"/>
      <w:pStyle w:val="74"/>
      <w:suff w:val="nothing"/>
      <w:lvlText w:val="(%1)"/>
      <w:lvlJc w:val="left"/>
      <w:pPr>
        <w:widowControl/>
        <w:spacing w:line="240" w:lineRule="auto"/>
        <w:ind w:left="0" w:firstLine="0"/>
      </w:pPr>
      <w:rPr>
        <w:rFonts w:ascii="Times New Roman" w:hAnsi="Times New Roman" w:eastAsia="宋体"/>
        <w:b/>
        <w:position w:val="0"/>
        <w:sz w:val="21"/>
        <w:szCs w:val="21"/>
      </w:rPr>
    </w:lvl>
    <w:lvl w:ilvl="3" w:tentative="0">
      <w:start w:val="1"/>
      <w:numFmt w:val="decimal"/>
      <w:pStyle w:val="88"/>
      <w:suff w:val="nothing"/>
      <w:lvlText w:val="%1、"/>
      <w:lvlJc w:val="left"/>
      <w:pPr>
        <w:widowControl/>
        <w:spacing w:line="240" w:lineRule="auto"/>
        <w:ind w:left="0" w:firstLine="0"/>
      </w:pPr>
    </w:lvl>
    <w:lvl w:ilvl="4" w:tentative="0">
      <w:start w:val="1"/>
      <w:numFmt w:val="upperLetter"/>
      <w:pStyle w:val="86"/>
      <w:suff w:val="nothing"/>
      <w:lvlText w:val="%1、"/>
      <w:lvlJc w:val="left"/>
      <w:pPr>
        <w:widowControl/>
        <w:spacing w:line="240" w:lineRule="auto"/>
        <w:ind w:left="0" w:firstLine="0"/>
      </w:pPr>
    </w:lvl>
    <w:lvl w:ilvl="5" w:tentative="0">
      <w:start w:val="1"/>
      <w:numFmt w:val="decimal"/>
      <w:pStyle w:val="16"/>
      <w:suff w:val="nothing"/>
      <w:lvlText w:val=""/>
      <w:lvlJc w:val="left"/>
      <w:pPr>
        <w:widowControl/>
        <w:spacing w:line="240" w:lineRule="auto"/>
        <w:ind w:left="0" w:firstLine="0"/>
      </w:pPr>
    </w:lvl>
    <w:lvl w:ilvl="6" w:tentative="0">
      <w:start w:val="1"/>
      <w:numFmt w:val="decimal"/>
      <w:pStyle w:val="17"/>
      <w:suff w:val="nothing"/>
      <w:lvlText w:val=""/>
      <w:lvlJc w:val="left"/>
      <w:pPr>
        <w:widowControl/>
        <w:spacing w:line="240" w:lineRule="auto"/>
        <w:ind w:left="0" w:firstLine="0"/>
      </w:pPr>
    </w:lvl>
    <w:lvl w:ilvl="7" w:tentative="0">
      <w:start w:val="1"/>
      <w:numFmt w:val="decimal"/>
      <w:pStyle w:val="18"/>
      <w:suff w:val="nothing"/>
      <w:lvlText w:val=""/>
      <w:lvlJc w:val="left"/>
      <w:pPr>
        <w:widowControl/>
        <w:spacing w:line="240" w:lineRule="auto"/>
        <w:ind w:left="0" w:firstLine="0"/>
      </w:pPr>
    </w:lvl>
    <w:lvl w:ilvl="8" w:tentative="0">
      <w:start w:val="1"/>
      <w:numFmt w:val="decimal"/>
      <w:pStyle w:val="19"/>
      <w:suff w:val="nothing"/>
      <w:lvlText w:val=""/>
      <w:lvlJc w:val="left"/>
      <w:pPr>
        <w:widowControl/>
        <w:spacing w:line="240" w:lineRule="auto"/>
        <w:ind w:left="0" w:firstLine="0"/>
      </w:pPr>
    </w:lvl>
  </w:abstractNum>
  <w:abstractNum w:abstractNumId="26">
    <w:nsid w:val="5608F78C"/>
    <w:multiLevelType w:val="singleLevel"/>
    <w:tmpl w:val="5608F78C"/>
    <w:lvl w:ilvl="0" w:tentative="0">
      <w:start w:val="7"/>
      <w:numFmt w:val="chineseCounting"/>
      <w:suff w:val="nothing"/>
      <w:lvlText w:val="%1、"/>
      <w:lvlJc w:val="left"/>
      <w:pPr>
        <w:widowControl/>
        <w:spacing w:line="240" w:lineRule="auto"/>
        <w:ind w:left="0" w:firstLine="0"/>
      </w:pPr>
      <w:rPr>
        <w:rStyle w:val="20"/>
      </w:rPr>
    </w:lvl>
  </w:abstractNum>
  <w:abstractNum w:abstractNumId="27">
    <w:nsid w:val="6E63B101"/>
    <w:multiLevelType w:val="singleLevel"/>
    <w:tmpl w:val="6E63B101"/>
    <w:lvl w:ilvl="0" w:tentative="0">
      <w:start w:val="3"/>
      <w:numFmt w:val="decimal"/>
      <w:pStyle w:val="56"/>
      <w:lvlText w:val="%1."/>
      <w:lvlJc w:val="left"/>
      <w:pPr>
        <w:widowControl/>
        <w:spacing w:line="240" w:lineRule="auto"/>
        <w:ind w:left="735" w:hanging="735"/>
      </w:pPr>
    </w:lvl>
  </w:abstractNum>
  <w:abstractNum w:abstractNumId="28">
    <w:nsid w:val="7F6357FC"/>
    <w:multiLevelType w:val="multilevel"/>
    <w:tmpl w:val="7F6357FC"/>
    <w:lvl w:ilvl="0" w:tentative="0">
      <w:start w:val="1"/>
      <w:numFmt w:val="decimal"/>
      <w:lvlText w:val="%1"/>
      <w:lvlJc w:val="left"/>
      <w:pPr>
        <w:widowControl/>
        <w:spacing w:line="240" w:lineRule="auto"/>
        <w:ind w:left="425" w:hanging="425"/>
      </w:pPr>
      <w:rPr>
        <w:rStyle w:val="20"/>
      </w:rPr>
    </w:lvl>
    <w:lvl w:ilvl="1" w:tentative="0">
      <w:start w:val="1"/>
      <w:numFmt w:val="decimal"/>
      <w:lvlText w:val="%1.%2"/>
      <w:lvlJc w:val="left"/>
      <w:pPr>
        <w:widowControl/>
        <w:spacing w:line="240" w:lineRule="auto"/>
        <w:ind w:left="992" w:hanging="567"/>
      </w:pPr>
      <w:rPr>
        <w:rStyle w:val="20"/>
      </w:rPr>
    </w:lvl>
    <w:lvl w:ilvl="2" w:tentative="0">
      <w:start w:val="1"/>
      <w:numFmt w:val="decimal"/>
      <w:lvlText w:val="%1.%2.%3"/>
      <w:lvlJc w:val="left"/>
      <w:pPr>
        <w:widowControl/>
        <w:spacing w:line="240" w:lineRule="auto"/>
        <w:ind w:left="1134" w:hanging="567"/>
      </w:pPr>
      <w:rPr>
        <w:rStyle w:val="20"/>
      </w:rPr>
    </w:lvl>
    <w:lvl w:ilvl="3" w:tentative="0">
      <w:start w:val="1"/>
      <w:numFmt w:val="decimal"/>
      <w:lvlText w:val="%1.%2.%3.%4"/>
      <w:lvlJc w:val="left"/>
      <w:pPr>
        <w:widowControl/>
        <w:spacing w:line="240" w:lineRule="auto"/>
        <w:ind w:left="1984" w:hanging="708"/>
      </w:pPr>
      <w:rPr>
        <w:rStyle w:val="20"/>
      </w:rPr>
    </w:lvl>
    <w:lvl w:ilvl="4" w:tentative="0">
      <w:start w:val="1"/>
      <w:numFmt w:val="decimal"/>
      <w:lvlText w:val="%1.%2.%3.%4.%5"/>
      <w:lvlJc w:val="left"/>
      <w:pPr>
        <w:widowControl/>
        <w:spacing w:line="240" w:lineRule="auto"/>
        <w:ind w:left="2551" w:hanging="850"/>
      </w:pPr>
      <w:rPr>
        <w:rStyle w:val="20"/>
      </w:rPr>
    </w:lvl>
    <w:lvl w:ilvl="5" w:tentative="0">
      <w:start w:val="1"/>
      <w:numFmt w:val="decimal"/>
      <w:lvlText w:val="%1.%2.%3.%4.%5.%6"/>
      <w:lvlJc w:val="left"/>
      <w:pPr>
        <w:widowControl/>
        <w:spacing w:line="240" w:lineRule="auto"/>
        <w:ind w:left="3260" w:hanging="1134"/>
      </w:pPr>
      <w:rPr>
        <w:rStyle w:val="20"/>
      </w:rPr>
    </w:lvl>
    <w:lvl w:ilvl="6" w:tentative="0">
      <w:start w:val="1"/>
      <w:numFmt w:val="decimal"/>
      <w:lvlText w:val="%1.%2.%3.%4.%5.%6.%7"/>
      <w:lvlJc w:val="left"/>
      <w:pPr>
        <w:widowControl/>
        <w:spacing w:line="240" w:lineRule="auto"/>
        <w:ind w:left="3827" w:hanging="1276"/>
      </w:pPr>
      <w:rPr>
        <w:rStyle w:val="20"/>
      </w:rPr>
    </w:lvl>
    <w:lvl w:ilvl="7" w:tentative="0">
      <w:start w:val="1"/>
      <w:numFmt w:val="decimal"/>
      <w:lvlText w:val="%1.%2.%3.%4.%5.%6.%7.%8"/>
      <w:lvlJc w:val="left"/>
      <w:pPr>
        <w:widowControl/>
        <w:spacing w:line="240" w:lineRule="auto"/>
        <w:ind w:left="4394" w:hanging="1418"/>
      </w:pPr>
      <w:rPr>
        <w:rStyle w:val="20"/>
      </w:rPr>
    </w:lvl>
    <w:lvl w:ilvl="8" w:tentative="0">
      <w:start w:val="1"/>
      <w:numFmt w:val="decimal"/>
      <w:lvlText w:val="%1.%2.%3.%4.%5.%6.%7.%8.%9"/>
      <w:lvlJc w:val="left"/>
      <w:pPr>
        <w:widowControl/>
        <w:spacing w:line="240" w:lineRule="auto"/>
        <w:ind w:left="5102" w:hanging="1700"/>
      </w:pPr>
      <w:rPr>
        <w:rStyle w:val="20"/>
      </w:rPr>
    </w:lvl>
  </w:abstractNum>
  <w:num w:numId="1">
    <w:abstractNumId w:val="25"/>
  </w:num>
  <w:num w:numId="2">
    <w:abstractNumId w:val="27"/>
  </w:num>
  <w:num w:numId="3">
    <w:abstractNumId w:val="0"/>
  </w:num>
  <w:num w:numId="4">
    <w:abstractNumId w:val="21"/>
  </w:num>
  <w:num w:numId="5">
    <w:abstractNumId w:val="24"/>
  </w:num>
  <w:num w:numId="6">
    <w:abstractNumId w:val="1"/>
  </w:num>
  <w:num w:numId="7">
    <w:abstractNumId w:val="26"/>
  </w:num>
  <w:num w:numId="8">
    <w:abstractNumId w:val="8"/>
  </w:num>
  <w:num w:numId="9">
    <w:abstractNumId w:val="10"/>
  </w:num>
  <w:num w:numId="10">
    <w:abstractNumId w:val="4"/>
  </w:num>
  <w:num w:numId="11">
    <w:abstractNumId w:val="15"/>
  </w:num>
  <w:num w:numId="12">
    <w:abstractNumId w:val="9"/>
  </w:num>
  <w:num w:numId="13">
    <w:abstractNumId w:val="18"/>
  </w:num>
  <w:num w:numId="14">
    <w:abstractNumId w:val="13"/>
  </w:num>
  <w:num w:numId="15">
    <w:abstractNumId w:val="14"/>
  </w:num>
  <w:num w:numId="16">
    <w:abstractNumId w:val="6"/>
  </w:num>
  <w:num w:numId="17">
    <w:abstractNumId w:val="12"/>
  </w:num>
  <w:num w:numId="18">
    <w:abstractNumId w:val="16"/>
  </w:num>
  <w:num w:numId="19">
    <w:abstractNumId w:val="11"/>
  </w:num>
  <w:num w:numId="20">
    <w:abstractNumId w:val="11"/>
    <w:lvlOverride w:ilvl="0">
      <w:lvl w:ilvl="0" w:tentative="1">
        <w:start w:val="1"/>
        <w:numFmt w:val="decimal"/>
        <w:lvlText w:val="（%1）"/>
        <w:lvlJc w:val="left"/>
        <w:pPr>
          <w:widowControl/>
          <w:spacing w:line="240" w:lineRule="auto"/>
          <w:ind w:left="1140" w:hanging="720"/>
        </w:pPr>
        <w:rPr>
          <w:rStyle w:val="20"/>
        </w:rPr>
      </w:lvl>
    </w:lvlOverride>
    <w:lvlOverride w:ilvl="1">
      <w:lvl w:ilvl="1" w:tentative="1">
        <w:start w:val="1"/>
        <w:numFmt w:val="lowerLetter"/>
        <w:lvlText w:val="%1)"/>
        <w:lvlJc w:val="left"/>
        <w:pPr>
          <w:widowControl/>
          <w:spacing w:line="240" w:lineRule="auto"/>
          <w:ind w:left="780" w:hanging="420"/>
        </w:pPr>
        <w:rPr>
          <w:rStyle w:val="20"/>
        </w:rPr>
      </w:lvl>
    </w:lvlOverride>
    <w:lvlOverride w:ilvl="2">
      <w:lvl w:ilvl="2" w:tentative="1">
        <w:start w:val="1"/>
        <w:numFmt w:val="lowerRoman"/>
        <w:lvlText w:val="%1."/>
        <w:lvlJc w:val="right"/>
        <w:pPr>
          <w:widowControl/>
          <w:spacing w:line="240" w:lineRule="auto"/>
          <w:ind w:left="1200" w:hanging="420"/>
        </w:pPr>
        <w:rPr>
          <w:rStyle w:val="20"/>
        </w:rPr>
      </w:lvl>
    </w:lvlOverride>
    <w:lvlOverride w:ilvl="3">
      <w:lvl w:ilvl="3" w:tentative="1">
        <w:start w:val="1"/>
        <w:numFmt w:val="decimal"/>
        <w:lvlText w:val="%1."/>
        <w:lvlJc w:val="left"/>
        <w:pPr>
          <w:widowControl/>
          <w:spacing w:line="240" w:lineRule="auto"/>
          <w:ind w:left="1620" w:hanging="420"/>
        </w:pPr>
        <w:rPr>
          <w:rStyle w:val="20"/>
        </w:rPr>
      </w:lvl>
    </w:lvlOverride>
    <w:lvlOverride w:ilvl="4">
      <w:lvl w:ilvl="4" w:tentative="1">
        <w:start w:val="1"/>
        <w:numFmt w:val="lowerLetter"/>
        <w:lvlText w:val="%1)"/>
        <w:lvlJc w:val="left"/>
        <w:pPr>
          <w:widowControl/>
          <w:spacing w:line="240" w:lineRule="auto"/>
          <w:ind w:left="2040" w:hanging="420"/>
        </w:pPr>
        <w:rPr>
          <w:rStyle w:val="20"/>
        </w:rPr>
      </w:lvl>
    </w:lvlOverride>
    <w:lvlOverride w:ilvl="5">
      <w:lvl w:ilvl="5" w:tentative="1">
        <w:start w:val="1"/>
        <w:numFmt w:val="lowerRoman"/>
        <w:lvlText w:val="%1."/>
        <w:lvlJc w:val="right"/>
        <w:pPr>
          <w:widowControl/>
          <w:spacing w:line="240" w:lineRule="auto"/>
          <w:ind w:left="2460" w:hanging="420"/>
        </w:pPr>
        <w:rPr>
          <w:rStyle w:val="20"/>
        </w:rPr>
      </w:lvl>
    </w:lvlOverride>
    <w:lvlOverride w:ilvl="6">
      <w:lvl w:ilvl="6" w:tentative="1">
        <w:start w:val="1"/>
        <w:numFmt w:val="decimal"/>
        <w:lvlText w:val="%1."/>
        <w:lvlJc w:val="left"/>
        <w:pPr>
          <w:widowControl/>
          <w:spacing w:line="240" w:lineRule="auto"/>
          <w:ind w:left="2880" w:hanging="420"/>
        </w:pPr>
        <w:rPr>
          <w:rStyle w:val="20"/>
        </w:rPr>
      </w:lvl>
    </w:lvlOverride>
    <w:lvlOverride w:ilvl="7">
      <w:lvl w:ilvl="7" w:tentative="1">
        <w:start w:val="1"/>
        <w:numFmt w:val="lowerLetter"/>
        <w:lvlText w:val="%1)"/>
        <w:lvlJc w:val="left"/>
        <w:pPr>
          <w:widowControl/>
          <w:spacing w:line="240" w:lineRule="auto"/>
          <w:ind w:left="3300" w:hanging="420"/>
        </w:pPr>
        <w:rPr>
          <w:rStyle w:val="20"/>
        </w:rPr>
      </w:lvl>
    </w:lvlOverride>
    <w:lvlOverride w:ilvl="8">
      <w:lvl w:ilvl="8" w:tentative="1">
        <w:start w:val="1"/>
        <w:numFmt w:val="lowerRoman"/>
        <w:lvlText w:val="%1."/>
        <w:lvlJc w:val="right"/>
        <w:pPr>
          <w:widowControl/>
          <w:spacing w:line="240" w:lineRule="auto"/>
          <w:ind w:left="3720" w:hanging="420"/>
        </w:pPr>
        <w:rPr>
          <w:rStyle w:val="20"/>
        </w:rPr>
      </w:lvl>
    </w:lvlOverride>
  </w:num>
  <w:num w:numId="21">
    <w:abstractNumId w:val="25"/>
    <w:lvlOverride w:ilvl="0">
      <w:lvl w:ilvl="0" w:tentative="1">
        <w:start w:val="1"/>
        <w:numFmt w:val="chineseCountingThousand"/>
        <w:suff w:val="nothing"/>
        <w:lvlText w:val="第%1部分"/>
        <w:lvlJc w:val="center"/>
        <w:pPr>
          <w:widowControl/>
          <w:spacing w:line="240" w:lineRule="auto"/>
          <w:ind w:left="0" w:firstLine="288"/>
        </w:pPr>
        <w:rPr>
          <w:rStyle w:val="20"/>
          <w:sz w:val="28"/>
          <w:szCs w:val="28"/>
        </w:rPr>
      </w:lvl>
    </w:lvlOverride>
    <w:lvlOverride w:ilvl="1">
      <w:lvl w:ilvl="1" w:tentative="1">
        <w:start w:val="1"/>
        <w:numFmt w:val="chineseCountingThousand"/>
        <w:suff w:val="nothing"/>
        <w:lvlText w:val="%1、"/>
        <w:lvlJc w:val="left"/>
        <w:pPr>
          <w:widowControl/>
          <w:spacing w:line="240" w:lineRule="auto"/>
          <w:ind w:left="4536" w:firstLine="0"/>
        </w:pPr>
        <w:rPr>
          <w:rStyle w:val="20"/>
          <w:rFonts w:ascii="宋体" w:hAnsi="宋体" w:eastAsia="宋体"/>
          <w:sz w:val="24"/>
          <w:szCs w:val="24"/>
        </w:rPr>
      </w:lvl>
    </w:lvlOverride>
    <w:lvlOverride w:ilvl="2">
      <w:lvl w:ilvl="2" w:tentative="1">
        <w:start w:val="1"/>
        <w:numFmt w:val="chineseCountingThousand"/>
        <w:suff w:val="nothing"/>
        <w:lvlText w:val="(%1)"/>
        <w:lvlJc w:val="left"/>
        <w:pPr>
          <w:widowControl/>
          <w:spacing w:line="240" w:lineRule="auto"/>
          <w:ind w:left="0" w:firstLine="0"/>
        </w:pPr>
        <w:rPr>
          <w:rStyle w:val="20"/>
          <w:rFonts w:ascii="Times New Roman" w:hAnsi="Times New Roman" w:eastAsia="宋体"/>
          <w:b/>
          <w:position w:val="0"/>
          <w:sz w:val="21"/>
          <w:szCs w:val="21"/>
        </w:rPr>
      </w:lvl>
    </w:lvlOverride>
    <w:lvlOverride w:ilvl="3">
      <w:lvl w:ilvl="3" w:tentative="1">
        <w:start w:val="1"/>
        <w:numFmt w:val="decimal"/>
        <w:suff w:val="nothing"/>
        <w:lvlText w:val="%1、"/>
        <w:lvlJc w:val="left"/>
        <w:pPr>
          <w:widowControl/>
          <w:spacing w:line="240" w:lineRule="auto"/>
          <w:ind w:left="0" w:firstLine="0"/>
        </w:pPr>
        <w:rPr>
          <w:rStyle w:val="20"/>
        </w:rPr>
      </w:lvl>
    </w:lvlOverride>
    <w:lvlOverride w:ilvl="4">
      <w:lvl w:ilvl="4" w:tentative="1">
        <w:start w:val="1"/>
        <w:numFmt w:val="upperLetter"/>
        <w:suff w:val="nothing"/>
        <w:lvlText w:val="%1、"/>
        <w:lvlJc w:val="left"/>
        <w:pPr>
          <w:widowControl/>
          <w:spacing w:line="240" w:lineRule="auto"/>
          <w:ind w:left="0" w:firstLine="0"/>
        </w:pPr>
        <w:rPr>
          <w:rStyle w:val="20"/>
        </w:rPr>
      </w:lvl>
    </w:lvlOverride>
    <w:lvlOverride w:ilvl="5">
      <w:lvl w:ilvl="5" w:tentative="1">
        <w:start w:val="1"/>
        <w:numFmt w:val="decimal"/>
        <w:suff w:val="nothing"/>
        <w:lvlText w:val=""/>
        <w:lvlJc w:val="left"/>
        <w:pPr>
          <w:widowControl/>
          <w:spacing w:line="240" w:lineRule="auto"/>
          <w:ind w:left="0" w:firstLine="0"/>
        </w:pPr>
        <w:rPr>
          <w:rStyle w:val="20"/>
        </w:rPr>
      </w:lvl>
    </w:lvlOverride>
    <w:lvlOverride w:ilvl="6">
      <w:lvl w:ilvl="6" w:tentative="1">
        <w:start w:val="1"/>
        <w:numFmt w:val="decimal"/>
        <w:suff w:val="nothing"/>
        <w:lvlText w:val=""/>
        <w:lvlJc w:val="left"/>
        <w:pPr>
          <w:widowControl/>
          <w:spacing w:line="240" w:lineRule="auto"/>
          <w:ind w:left="0" w:firstLine="0"/>
        </w:pPr>
        <w:rPr>
          <w:rStyle w:val="20"/>
        </w:rPr>
      </w:lvl>
    </w:lvlOverride>
    <w:lvlOverride w:ilvl="7">
      <w:lvl w:ilvl="7" w:tentative="1">
        <w:start w:val="1"/>
        <w:numFmt w:val="decimal"/>
        <w:suff w:val="nothing"/>
        <w:lvlText w:val=""/>
        <w:lvlJc w:val="left"/>
        <w:pPr>
          <w:widowControl/>
          <w:spacing w:line="240" w:lineRule="auto"/>
          <w:ind w:left="0" w:firstLine="0"/>
        </w:pPr>
        <w:rPr>
          <w:rStyle w:val="20"/>
        </w:rPr>
      </w:lvl>
    </w:lvlOverride>
    <w:lvlOverride w:ilvl="8">
      <w:lvl w:ilvl="8" w:tentative="1">
        <w:start w:val="1"/>
        <w:numFmt w:val="decimal"/>
        <w:suff w:val="nothing"/>
        <w:lvlText w:val=""/>
        <w:lvlJc w:val="left"/>
        <w:pPr>
          <w:widowControl/>
          <w:spacing w:line="240" w:lineRule="auto"/>
          <w:ind w:left="0" w:firstLine="0"/>
        </w:pPr>
        <w:rPr>
          <w:rStyle w:val="20"/>
        </w:rPr>
      </w:lvl>
    </w:lvlOverride>
  </w:num>
  <w:num w:numId="22">
    <w:abstractNumId w:val="7"/>
  </w:num>
  <w:num w:numId="23">
    <w:abstractNumId w:val="17"/>
  </w:num>
  <w:num w:numId="24">
    <w:abstractNumId w:val="23"/>
  </w:num>
  <w:num w:numId="25">
    <w:abstractNumId w:val="28"/>
  </w:num>
  <w:num w:numId="26">
    <w:abstractNumId w:val="22"/>
  </w:num>
  <w:num w:numId="27">
    <w:abstractNumId w:val="20"/>
  </w:num>
  <w:num w:numId="28">
    <w:abstractNumId w:val="2"/>
    <w:lvlOverride w:ilvl="0">
      <w:lvl w:ilvl="0" w:tentative="1">
        <w:start w:val="1"/>
        <w:numFmt w:val="decimal"/>
        <w:lvlText w:val="%1."/>
        <w:lvlJc w:val="left"/>
        <w:pPr>
          <w:widowControl/>
          <w:spacing w:line="240" w:lineRule="auto"/>
          <w:ind w:left="425" w:hanging="425"/>
        </w:pPr>
        <w:rPr>
          <w:rStyle w:val="20"/>
        </w:rPr>
      </w:lvl>
    </w:lvlOverride>
  </w:num>
  <w:num w:numId="29">
    <w:abstractNumId w:val="19"/>
    <w:lvlOverride w:ilvl="0">
      <w:lvl w:ilvl="0" w:tentative="1">
        <w:start w:val="1"/>
        <w:numFmt w:val="decimal"/>
        <w:lvlText w:val="%1."/>
        <w:lvlJc w:val="left"/>
        <w:pPr>
          <w:widowControl/>
          <w:spacing w:line="240" w:lineRule="auto"/>
          <w:ind w:left="709" w:hanging="709"/>
        </w:pPr>
        <w:rPr>
          <w:rStyle w:val="20"/>
        </w:rPr>
      </w:lvl>
    </w:lvlOverride>
    <w:lvlOverride w:ilvl="1">
      <w:lvl w:ilvl="1" w:tentative="1">
        <w:start w:val="1"/>
        <w:numFmt w:val="decimal"/>
        <w:lvlText w:val="%1.%2"/>
        <w:lvlJc w:val="left"/>
        <w:pPr>
          <w:widowControl/>
          <w:spacing w:line="240" w:lineRule="auto"/>
          <w:ind w:left="709" w:hanging="709"/>
        </w:pPr>
        <w:rPr>
          <w:rStyle w:val="20"/>
        </w:rPr>
      </w:lvl>
    </w:lvlOverride>
    <w:lvlOverride w:ilvl="2">
      <w:lvl w:ilvl="2" w:tentative="1">
        <w:start w:val="1"/>
        <w:numFmt w:val="decimal"/>
        <w:lvlText w:val="%1.%2.%3."/>
        <w:lvlJc w:val="left"/>
        <w:pPr>
          <w:widowControl/>
          <w:spacing w:line="240" w:lineRule="auto"/>
          <w:ind w:left="425" w:hanging="425"/>
        </w:pPr>
        <w:rPr>
          <w:rStyle w:val="20"/>
        </w:rPr>
      </w:lvl>
    </w:lvlOverride>
    <w:lvlOverride w:ilvl="3">
      <w:lvl w:ilvl="3" w:tentative="1">
        <w:start w:val="1"/>
        <w:numFmt w:val="decimal"/>
        <w:lvlText w:val="%1.%2.%3.%4."/>
        <w:lvlJc w:val="left"/>
        <w:pPr>
          <w:widowControl/>
          <w:spacing w:line="240" w:lineRule="auto"/>
          <w:ind w:left="851" w:hanging="851"/>
        </w:pPr>
        <w:rPr>
          <w:rStyle w:val="20"/>
        </w:rPr>
      </w:lvl>
    </w:lvlOverride>
    <w:lvlOverride w:ilvl="4">
      <w:lvl w:ilvl="4" w:tentative="1">
        <w:start w:val="1"/>
        <w:numFmt w:val="decimal"/>
        <w:lvlText w:val="%1.%2.%3.%4.%5."/>
        <w:lvlJc w:val="left"/>
        <w:pPr>
          <w:widowControl/>
          <w:spacing w:line="240" w:lineRule="auto"/>
          <w:ind w:left="992" w:hanging="992"/>
        </w:pPr>
        <w:rPr>
          <w:rStyle w:val="20"/>
        </w:rPr>
      </w:lvl>
    </w:lvlOverride>
    <w:lvlOverride w:ilvl="5">
      <w:lvl w:ilvl="5" w:tentative="1">
        <w:start w:val="1"/>
        <w:numFmt w:val="decimal"/>
        <w:lvlText w:val="%1.%2.%3.%4.%5.%6."/>
        <w:lvlJc w:val="left"/>
        <w:pPr>
          <w:widowControl/>
          <w:spacing w:line="240" w:lineRule="auto"/>
          <w:ind w:left="1134" w:hanging="1134"/>
        </w:pPr>
        <w:rPr>
          <w:rStyle w:val="20"/>
        </w:rPr>
      </w:lvl>
    </w:lvlOverride>
    <w:lvlOverride w:ilvl="6">
      <w:lvl w:ilvl="6" w:tentative="1">
        <w:start w:val="1"/>
        <w:numFmt w:val="decimal"/>
        <w:lvlText w:val="%1.%2.%3.%4.%5.%6.%7."/>
        <w:lvlJc w:val="left"/>
        <w:pPr>
          <w:widowControl/>
          <w:spacing w:line="240" w:lineRule="auto"/>
          <w:ind w:left="1276" w:hanging="1276"/>
        </w:pPr>
        <w:rPr>
          <w:rStyle w:val="20"/>
        </w:rPr>
      </w:lvl>
    </w:lvlOverride>
    <w:lvlOverride w:ilvl="7">
      <w:lvl w:ilvl="7" w:tentative="1">
        <w:start w:val="1"/>
        <w:numFmt w:val="decimal"/>
        <w:lvlText w:val="%1.%2.%3.%4.%5.%6.%7.%8."/>
        <w:lvlJc w:val="left"/>
        <w:pPr>
          <w:widowControl/>
          <w:spacing w:line="240" w:lineRule="auto"/>
          <w:ind w:left="1418" w:hanging="1418"/>
        </w:pPr>
        <w:rPr>
          <w:rStyle w:val="20"/>
        </w:rPr>
      </w:lvl>
    </w:lvlOverride>
    <w:lvlOverride w:ilvl="8">
      <w:lvl w:ilvl="8" w:tentative="1">
        <w:start w:val="1"/>
        <w:numFmt w:val="decimal"/>
        <w:lvlText w:val="%1.%2.%3.%4.%5.%6.%7.%8.%9."/>
        <w:lvlJc w:val="left"/>
        <w:pPr>
          <w:widowControl/>
          <w:spacing w:line="240" w:lineRule="auto"/>
          <w:ind w:left="1559" w:hanging="1559"/>
        </w:pPr>
        <w:rPr>
          <w:rStyle w:val="20"/>
        </w:rPr>
      </w:lvl>
    </w:lvlOverride>
  </w:num>
  <w:num w:numId="30">
    <w:abstractNumId w:val="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5"/>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122CB5"/>
    <w:rsid w:val="0038492C"/>
    <w:rsid w:val="003F21B2"/>
    <w:rsid w:val="005525C5"/>
    <w:rsid w:val="0067717D"/>
    <w:rsid w:val="00875BD1"/>
    <w:rsid w:val="00DD1E5E"/>
    <w:rsid w:val="00ED60C0"/>
    <w:rsid w:val="0D8A66A7"/>
    <w:rsid w:val="0FB50234"/>
    <w:rsid w:val="12AB7070"/>
    <w:rsid w:val="63CC0D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1"/>
    <w:qFormat/>
    <w:uiPriority w:val="0"/>
    <w:pPr>
      <w:spacing w:line="360" w:lineRule="atLeast"/>
    </w:pPr>
    <w:rPr>
      <w:rFonts w:ascii="Times New Roman" w:hAnsi="Times New Roman" w:eastAsia="楷体" w:cs="Times New Roman"/>
      <w:sz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qFormat/>
    <w:uiPriority w:val="0"/>
    <w:pPr>
      <w:spacing w:line="360" w:lineRule="atLeast"/>
      <w:ind w:left="2500" w:leftChars="2500"/>
    </w:pPr>
  </w:style>
  <w:style w:type="paragraph" w:styleId="3">
    <w:name w:val="footer"/>
    <w:basedOn w:val="1"/>
    <w:qFormat/>
    <w:uiPriority w:val="0"/>
    <w:pPr>
      <w:tabs>
        <w:tab w:val="right" w:pos="4153"/>
        <w:tab w:val="left" w:leader="underscore" w:pos="8306"/>
      </w:tabs>
      <w:spacing w:line="240" w:lineRule="atLeast"/>
    </w:pPr>
    <w:rPr>
      <w:sz w:val="18"/>
      <w:lang w:val="en-US" w:eastAsia="zh-CN" w:bidi="ar-SA"/>
    </w:rPr>
  </w:style>
  <w:style w:type="paragraph" w:styleId="4">
    <w:name w:val="header"/>
    <w:basedOn w:val="1"/>
    <w:qFormat/>
    <w:uiPriority w:val="0"/>
    <w:pPr>
      <w:pBdr>
        <w:bottom w:val="single" w:color="000000" w:sz="6" w:space="1"/>
      </w:pBdr>
      <w:tabs>
        <w:tab w:val="right" w:pos="4153"/>
        <w:tab w:val="left" w:leader="underscore" w:pos="8306"/>
      </w:tabs>
      <w:spacing w:line="240" w:lineRule="atLeast"/>
      <w:jc w:val="center"/>
    </w:pPr>
    <w:rPr>
      <w:sz w:val="18"/>
      <w:lang w:val="en-US" w:eastAsia="zh-CN" w:bidi="ar-SA"/>
    </w:rPr>
  </w:style>
  <w:style w:type="paragraph" w:styleId="5">
    <w:name w:val="Title"/>
    <w:basedOn w:val="1"/>
    <w:qFormat/>
    <w:uiPriority w:val="0"/>
    <w:pPr>
      <w:spacing w:line="240" w:lineRule="auto"/>
      <w:jc w:val="center"/>
    </w:pPr>
    <w:rPr>
      <w:kern w:val="2"/>
      <w:sz w:val="30"/>
      <w:szCs w:val="24"/>
      <w:lang w:val="en-US" w:eastAsia="zh-CN" w:bidi="ar-SA"/>
    </w:rPr>
  </w:style>
  <w:style w:type="character" w:styleId="8">
    <w:name w:val="Strong"/>
    <w:link w:val="1"/>
    <w:qFormat/>
    <w:uiPriority w:val="0"/>
    <w:rPr>
      <w:rFonts w:cs="Times New Roman"/>
      <w:b/>
      <w:bCs/>
    </w:rPr>
  </w:style>
  <w:style w:type="character" w:styleId="9">
    <w:name w:val="FollowedHyperlink"/>
    <w:link w:val="1"/>
    <w:qFormat/>
    <w:uiPriority w:val="0"/>
    <w:rPr>
      <w:color w:val="3894C1"/>
    </w:rPr>
  </w:style>
  <w:style w:type="character" w:styleId="10">
    <w:name w:val="Hyperlink"/>
    <w:link w:val="1"/>
    <w:qFormat/>
    <w:uiPriority w:val="0"/>
    <w:rPr>
      <w:color w:val="3894C1"/>
    </w:rPr>
  </w:style>
  <w:style w:type="paragraph" w:customStyle="1" w:styleId="11">
    <w:name w:val="Heading1"/>
    <w:next w:val="1"/>
    <w:qFormat/>
    <w:uiPriority w:val="0"/>
    <w:pPr>
      <w:keepNext/>
      <w:keepLines/>
      <w:spacing w:before="340" w:after="330" w:line="578" w:lineRule="auto"/>
      <w:jc w:val="both"/>
    </w:pPr>
    <w:rPr>
      <w:rFonts w:ascii="Times New Roman" w:hAnsi="Times New Roman" w:eastAsia="楷体" w:cs="Times New Roman"/>
      <w:b/>
      <w:bCs/>
      <w:kern w:val="44"/>
      <w:sz w:val="44"/>
      <w:szCs w:val="44"/>
      <w:lang w:val="en-US" w:eastAsia="zh-CN" w:bidi="ar-SA"/>
    </w:rPr>
  </w:style>
  <w:style w:type="paragraph" w:customStyle="1" w:styleId="12">
    <w:name w:val="Heading2"/>
    <w:basedOn w:val="1"/>
    <w:next w:val="1"/>
    <w:qFormat/>
    <w:uiPriority w:val="0"/>
    <w:pPr>
      <w:keepNext/>
      <w:keepLines/>
      <w:numPr>
        <w:ilvl w:val="1"/>
        <w:numId w:val="1"/>
      </w:numPr>
      <w:tabs>
        <w:tab w:val="left" w:pos="0"/>
      </w:tabs>
      <w:spacing w:before="260" w:after="260" w:line="416" w:lineRule="atLeast"/>
    </w:pPr>
    <w:rPr>
      <w:rFonts w:ascii="Arial" w:hAnsi="Arial" w:eastAsia="黑体" w:cs="Times New Roman"/>
      <w:b/>
      <w:bCs/>
      <w:sz w:val="32"/>
      <w:szCs w:val="32"/>
      <w:lang w:val="en-US" w:eastAsia="zh-CN" w:bidi="ar-SA"/>
    </w:rPr>
  </w:style>
  <w:style w:type="paragraph" w:customStyle="1" w:styleId="13">
    <w:name w:val="Heading3"/>
    <w:basedOn w:val="1"/>
    <w:next w:val="1"/>
    <w:qFormat/>
    <w:uiPriority w:val="0"/>
    <w:pPr>
      <w:keepNext/>
      <w:keepLines/>
      <w:numPr>
        <w:ilvl w:val="2"/>
        <w:numId w:val="1"/>
      </w:numPr>
      <w:tabs>
        <w:tab w:val="left" w:pos="0"/>
      </w:tabs>
      <w:spacing w:before="260" w:after="260" w:line="416" w:lineRule="atLeast"/>
    </w:pPr>
    <w:rPr>
      <w:rFonts w:cs="Times New Roman"/>
      <w:b/>
      <w:bCs/>
      <w:sz w:val="32"/>
      <w:szCs w:val="32"/>
      <w:lang w:val="en-US" w:eastAsia="zh-CN" w:bidi="ar-SA"/>
    </w:rPr>
  </w:style>
  <w:style w:type="paragraph" w:customStyle="1" w:styleId="14">
    <w:name w:val="Heading4"/>
    <w:basedOn w:val="1"/>
    <w:next w:val="1"/>
    <w:qFormat/>
    <w:uiPriority w:val="0"/>
    <w:pPr>
      <w:keepNext/>
      <w:keepLines/>
      <w:numPr>
        <w:ilvl w:val="3"/>
        <w:numId w:val="1"/>
      </w:numPr>
      <w:tabs>
        <w:tab w:val="left" w:pos="0"/>
      </w:tabs>
      <w:spacing w:before="280" w:after="290" w:line="376" w:lineRule="atLeast"/>
    </w:pPr>
    <w:rPr>
      <w:rFonts w:ascii="Arial" w:hAnsi="Arial" w:eastAsia="黑体" w:cs="Times New Roman"/>
      <w:b/>
      <w:bCs/>
      <w:sz w:val="28"/>
      <w:szCs w:val="28"/>
      <w:lang w:val="en-US" w:eastAsia="zh-CN" w:bidi="ar-SA"/>
    </w:rPr>
  </w:style>
  <w:style w:type="paragraph" w:customStyle="1" w:styleId="15">
    <w:name w:val="Heading5"/>
    <w:basedOn w:val="1"/>
    <w:next w:val="1"/>
    <w:qFormat/>
    <w:uiPriority w:val="0"/>
    <w:pPr>
      <w:keepNext/>
      <w:keepLines/>
      <w:numPr>
        <w:ilvl w:val="4"/>
        <w:numId w:val="1"/>
      </w:numPr>
      <w:tabs>
        <w:tab w:val="left" w:pos="0"/>
      </w:tabs>
      <w:spacing w:before="280" w:after="290" w:line="376" w:lineRule="atLeast"/>
    </w:pPr>
    <w:rPr>
      <w:rFonts w:cs="Times New Roman"/>
      <w:b/>
      <w:bCs/>
      <w:sz w:val="28"/>
      <w:szCs w:val="28"/>
      <w:lang w:val="en-US" w:eastAsia="zh-CN" w:bidi="ar-SA"/>
    </w:rPr>
  </w:style>
  <w:style w:type="paragraph" w:customStyle="1" w:styleId="16">
    <w:name w:val="Heading6"/>
    <w:basedOn w:val="1"/>
    <w:next w:val="1"/>
    <w:qFormat/>
    <w:uiPriority w:val="0"/>
    <w:pPr>
      <w:keepNext/>
      <w:keepLines/>
      <w:numPr>
        <w:ilvl w:val="5"/>
        <w:numId w:val="1"/>
      </w:numPr>
      <w:tabs>
        <w:tab w:val="left" w:pos="0"/>
      </w:tabs>
      <w:spacing w:before="240" w:after="64" w:line="320" w:lineRule="atLeast"/>
    </w:pPr>
    <w:rPr>
      <w:rFonts w:ascii="Arial" w:hAnsi="Arial" w:eastAsia="黑体" w:cs="Times New Roman"/>
      <w:b/>
      <w:bCs/>
      <w:sz w:val="24"/>
      <w:szCs w:val="24"/>
      <w:lang w:val="en-US" w:eastAsia="zh-CN" w:bidi="ar-SA"/>
    </w:rPr>
  </w:style>
  <w:style w:type="paragraph" w:customStyle="1" w:styleId="17">
    <w:name w:val="Heading7"/>
    <w:basedOn w:val="1"/>
    <w:next w:val="1"/>
    <w:qFormat/>
    <w:uiPriority w:val="0"/>
    <w:pPr>
      <w:keepNext/>
      <w:keepLines/>
      <w:numPr>
        <w:ilvl w:val="6"/>
        <w:numId w:val="1"/>
      </w:numPr>
      <w:tabs>
        <w:tab w:val="left" w:pos="0"/>
      </w:tabs>
      <w:spacing w:before="240" w:after="64" w:line="320" w:lineRule="atLeast"/>
    </w:pPr>
    <w:rPr>
      <w:rFonts w:cs="Times New Roman"/>
      <w:b/>
      <w:bCs/>
      <w:sz w:val="24"/>
      <w:szCs w:val="24"/>
      <w:lang w:val="en-US" w:eastAsia="zh-CN" w:bidi="ar-SA"/>
    </w:rPr>
  </w:style>
  <w:style w:type="paragraph" w:customStyle="1" w:styleId="18">
    <w:name w:val="Heading8"/>
    <w:basedOn w:val="1"/>
    <w:next w:val="1"/>
    <w:qFormat/>
    <w:uiPriority w:val="0"/>
    <w:pPr>
      <w:keepNext/>
      <w:keepLines/>
      <w:numPr>
        <w:ilvl w:val="7"/>
        <w:numId w:val="1"/>
      </w:numPr>
      <w:tabs>
        <w:tab w:val="left" w:pos="0"/>
      </w:tabs>
      <w:spacing w:before="240" w:after="64" w:line="320" w:lineRule="atLeast"/>
    </w:pPr>
    <w:rPr>
      <w:rFonts w:ascii="Arial" w:hAnsi="Arial" w:eastAsia="黑体"/>
      <w:sz w:val="24"/>
      <w:szCs w:val="24"/>
      <w:lang w:val="en-US" w:eastAsia="zh-CN" w:bidi="ar-SA"/>
    </w:rPr>
  </w:style>
  <w:style w:type="paragraph" w:customStyle="1" w:styleId="19">
    <w:name w:val="Heading9"/>
    <w:basedOn w:val="1"/>
    <w:next w:val="1"/>
    <w:qFormat/>
    <w:uiPriority w:val="0"/>
    <w:pPr>
      <w:keepNext/>
      <w:keepLines/>
      <w:numPr>
        <w:ilvl w:val="8"/>
        <w:numId w:val="1"/>
      </w:numPr>
      <w:tabs>
        <w:tab w:val="left" w:pos="0"/>
      </w:tabs>
      <w:spacing w:before="240" w:after="64" w:line="320" w:lineRule="atLeast"/>
    </w:pPr>
    <w:rPr>
      <w:rFonts w:ascii="Arial" w:hAnsi="Arial" w:eastAsia="黑体"/>
      <w:sz w:val="21"/>
      <w:szCs w:val="21"/>
      <w:lang w:val="en-US" w:eastAsia="zh-CN" w:bidi="ar-SA"/>
    </w:rPr>
  </w:style>
  <w:style w:type="character" w:customStyle="1" w:styleId="20">
    <w:name w:val="NormalCharacter"/>
    <w:link w:val="1"/>
    <w:qFormat/>
    <w:uiPriority w:val="0"/>
  </w:style>
  <w:style w:type="table" w:customStyle="1" w:styleId="21">
    <w:name w:val="TableNormal"/>
    <w:semiHidden/>
    <w:qFormat/>
    <w:uiPriority w:val="0"/>
  </w:style>
  <w:style w:type="character" w:customStyle="1" w:styleId="22">
    <w:name w:val="AnnotationReference"/>
    <w:link w:val="1"/>
    <w:qFormat/>
    <w:uiPriority w:val="0"/>
    <w:rPr>
      <w:sz w:val="21"/>
      <w:szCs w:val="21"/>
    </w:rPr>
  </w:style>
  <w:style w:type="character" w:customStyle="1" w:styleId="23">
    <w:name w:val="PageNumber"/>
    <w:basedOn w:val="20"/>
    <w:link w:val="1"/>
    <w:qFormat/>
    <w:uiPriority w:val="0"/>
  </w:style>
  <w:style w:type="character" w:customStyle="1" w:styleId="24">
    <w:name w:val="UserStyle_0"/>
    <w:link w:val="1"/>
    <w:qFormat/>
    <w:uiPriority w:val="0"/>
    <w:rPr>
      <w:sz w:val="29"/>
      <w:szCs w:val="29"/>
    </w:rPr>
  </w:style>
  <w:style w:type="character" w:customStyle="1" w:styleId="25">
    <w:name w:val="UserStyle_1"/>
    <w:link w:val="1"/>
    <w:qFormat/>
    <w:uiPriority w:val="0"/>
  </w:style>
  <w:style w:type="character" w:customStyle="1" w:styleId="26">
    <w:name w:val="UserStyle_2"/>
    <w:basedOn w:val="20"/>
    <w:link w:val="1"/>
    <w:qFormat/>
    <w:uiPriority w:val="0"/>
  </w:style>
  <w:style w:type="character" w:customStyle="1" w:styleId="27">
    <w:name w:val="UserStyle_3"/>
    <w:link w:val="1"/>
    <w:qFormat/>
    <w:uiPriority w:val="0"/>
    <w:rPr>
      <w:rFonts w:ascii="宋体" w:eastAsia="宋体"/>
      <w:sz w:val="21"/>
      <w:szCs w:val="21"/>
      <w:lang w:val="en-US" w:eastAsia="zh-CN" w:bidi="ar-SA"/>
    </w:rPr>
  </w:style>
  <w:style w:type="character" w:customStyle="1" w:styleId="28">
    <w:name w:val="UserStyle_4"/>
    <w:link w:val="29"/>
    <w:qFormat/>
    <w:uiPriority w:val="0"/>
    <w:rPr>
      <w:sz w:val="24"/>
    </w:rPr>
  </w:style>
  <w:style w:type="paragraph" w:customStyle="1" w:styleId="29">
    <w:name w:val="AnnotationText"/>
    <w:basedOn w:val="1"/>
    <w:link w:val="28"/>
    <w:qFormat/>
    <w:uiPriority w:val="0"/>
    <w:pPr>
      <w:spacing w:line="360" w:lineRule="atLeast"/>
    </w:pPr>
  </w:style>
  <w:style w:type="character" w:customStyle="1" w:styleId="30">
    <w:name w:val="UserStyle_5"/>
    <w:link w:val="1"/>
    <w:qFormat/>
    <w:uiPriority w:val="0"/>
    <w:rPr>
      <w:rFonts w:cs="Times New Roman"/>
      <w:b/>
      <w:bCs/>
      <w:i/>
      <w:iCs/>
      <w:color w:val="4F81BD"/>
    </w:rPr>
  </w:style>
  <w:style w:type="character" w:customStyle="1" w:styleId="31">
    <w:name w:val="UserStyle_6"/>
    <w:link w:val="1"/>
    <w:qFormat/>
    <w:uiPriority w:val="0"/>
    <w:rPr>
      <w:kern w:val="2"/>
      <w:sz w:val="30"/>
      <w:szCs w:val="24"/>
    </w:rPr>
  </w:style>
  <w:style w:type="paragraph" w:customStyle="1" w:styleId="32">
    <w:name w:val="AnnotationSubject"/>
    <w:basedOn w:val="29"/>
    <w:next w:val="29"/>
    <w:qFormat/>
    <w:uiPriority w:val="0"/>
    <w:pPr>
      <w:spacing w:line="360" w:lineRule="atLeast"/>
    </w:pPr>
    <w:rPr>
      <w:rFonts w:cs="Times New Roman"/>
      <w:b/>
      <w:bCs/>
    </w:rPr>
  </w:style>
  <w:style w:type="paragraph" w:customStyle="1" w:styleId="33">
    <w:name w:val="BodyTextIndent2"/>
    <w:basedOn w:val="1"/>
    <w:qFormat/>
    <w:uiPriority w:val="0"/>
    <w:pPr>
      <w:spacing w:after="120" w:line="480" w:lineRule="auto"/>
      <w:ind w:left="200" w:leftChars="200"/>
    </w:pPr>
  </w:style>
  <w:style w:type="paragraph" w:customStyle="1" w:styleId="34">
    <w:name w:val="TOC9"/>
    <w:basedOn w:val="1"/>
    <w:next w:val="1"/>
    <w:qFormat/>
    <w:uiPriority w:val="0"/>
    <w:pPr>
      <w:spacing w:line="240" w:lineRule="auto"/>
      <w:ind w:left="1680"/>
    </w:pPr>
    <w:rPr>
      <w:kern w:val="2"/>
      <w:sz w:val="21"/>
      <w:szCs w:val="21"/>
      <w:lang w:val="en-US" w:eastAsia="zh-CN" w:bidi="ar-SA"/>
    </w:rPr>
  </w:style>
  <w:style w:type="paragraph" w:customStyle="1" w:styleId="35">
    <w:name w:val="TOC1"/>
    <w:basedOn w:val="1"/>
    <w:next w:val="1"/>
    <w:qFormat/>
    <w:uiPriority w:val="0"/>
    <w:pPr>
      <w:spacing w:line="360" w:lineRule="atLeast"/>
    </w:pPr>
  </w:style>
  <w:style w:type="paragraph" w:customStyle="1" w:styleId="36">
    <w:name w:val="BodyText"/>
    <w:basedOn w:val="1"/>
    <w:qFormat/>
    <w:uiPriority w:val="0"/>
    <w:pPr>
      <w:spacing w:after="120" w:line="360" w:lineRule="atLeast"/>
    </w:pPr>
    <w:rPr>
      <w:sz w:val="24"/>
      <w:lang w:val="en-US" w:eastAsia="zh-CN" w:bidi="ar-SA"/>
    </w:rPr>
  </w:style>
  <w:style w:type="paragraph" w:customStyle="1" w:styleId="37">
    <w:name w:val="HtmlNormal"/>
    <w:basedOn w:val="1"/>
    <w:qFormat/>
    <w:uiPriority w:val="0"/>
    <w:pPr>
      <w:widowControl/>
      <w:spacing w:before="100" w:beforeAutospacing="1" w:after="100" w:afterAutospacing="1" w:line="240" w:lineRule="auto"/>
    </w:pPr>
    <w:rPr>
      <w:rFonts w:ascii="宋体"/>
      <w:sz w:val="24"/>
      <w:szCs w:val="24"/>
      <w:lang w:val="en-US" w:eastAsia="zh-CN" w:bidi="ar-SA"/>
    </w:rPr>
  </w:style>
  <w:style w:type="paragraph" w:customStyle="1" w:styleId="38">
    <w:name w:val="TOC2"/>
    <w:basedOn w:val="1"/>
    <w:next w:val="1"/>
    <w:qFormat/>
    <w:uiPriority w:val="0"/>
    <w:pPr>
      <w:spacing w:line="360" w:lineRule="atLeast"/>
      <w:ind w:left="200" w:leftChars="200"/>
    </w:pPr>
  </w:style>
  <w:style w:type="paragraph" w:customStyle="1" w:styleId="39">
    <w:name w:val="Acetate"/>
    <w:basedOn w:val="1"/>
    <w:qFormat/>
    <w:uiPriority w:val="0"/>
    <w:pPr>
      <w:spacing w:line="360" w:lineRule="atLeast"/>
    </w:pPr>
    <w:rPr>
      <w:sz w:val="18"/>
      <w:szCs w:val="18"/>
      <w:lang w:val="en-US" w:eastAsia="zh-CN" w:bidi="ar-SA"/>
    </w:rPr>
  </w:style>
  <w:style w:type="paragraph" w:customStyle="1" w:styleId="40">
    <w:name w:val="PlainText"/>
    <w:basedOn w:val="1"/>
    <w:qFormat/>
    <w:uiPriority w:val="0"/>
    <w:pPr>
      <w:spacing w:line="240" w:lineRule="auto"/>
      <w:jc w:val="both"/>
    </w:pPr>
    <w:rPr>
      <w:rFonts w:ascii="宋体"/>
      <w:kern w:val="2"/>
      <w:sz w:val="21"/>
      <w:szCs w:val="21"/>
      <w:lang w:val="en-US" w:eastAsia="zh-CN" w:bidi="ar-SA"/>
    </w:rPr>
  </w:style>
  <w:style w:type="paragraph" w:customStyle="1" w:styleId="41">
    <w:name w:val="NavPane"/>
    <w:basedOn w:val="1"/>
    <w:qFormat/>
    <w:uiPriority w:val="0"/>
    <w:pPr>
      <w:shd w:val="clear" w:color="auto" w:fill="000080"/>
      <w:spacing w:line="360" w:lineRule="atLeast"/>
    </w:pPr>
    <w:rPr>
      <w:sz w:val="24"/>
      <w:shd w:val="clear" w:color="auto" w:fill="000080"/>
      <w:lang w:val="en-US" w:eastAsia="zh-CN" w:bidi="ar-SA"/>
    </w:rPr>
  </w:style>
  <w:style w:type="paragraph" w:customStyle="1" w:styleId="42">
    <w:name w:val="BodyText2"/>
    <w:basedOn w:val="1"/>
    <w:qFormat/>
    <w:uiPriority w:val="0"/>
    <w:pPr>
      <w:spacing w:after="120" w:line="480" w:lineRule="auto"/>
    </w:pPr>
  </w:style>
  <w:style w:type="paragraph" w:customStyle="1" w:styleId="43">
    <w:name w:val="BodyTextIndent"/>
    <w:basedOn w:val="1"/>
    <w:qFormat/>
    <w:uiPriority w:val="0"/>
    <w:pPr>
      <w:spacing w:after="120" w:line="360" w:lineRule="atLeast"/>
      <w:ind w:left="200" w:leftChars="200"/>
    </w:pPr>
  </w:style>
  <w:style w:type="paragraph" w:customStyle="1" w:styleId="44">
    <w:name w:val="TOC8"/>
    <w:basedOn w:val="1"/>
    <w:next w:val="1"/>
    <w:qFormat/>
    <w:uiPriority w:val="0"/>
    <w:pPr>
      <w:spacing w:line="240" w:lineRule="auto"/>
      <w:ind w:left="1470"/>
    </w:pPr>
    <w:rPr>
      <w:kern w:val="2"/>
      <w:sz w:val="21"/>
      <w:szCs w:val="21"/>
      <w:lang w:val="en-US" w:eastAsia="zh-CN" w:bidi="ar-SA"/>
    </w:rPr>
  </w:style>
  <w:style w:type="paragraph" w:customStyle="1" w:styleId="45">
    <w:name w:val="BodyText3"/>
    <w:basedOn w:val="1"/>
    <w:qFormat/>
    <w:uiPriority w:val="0"/>
    <w:pPr>
      <w:spacing w:after="120" w:line="360" w:lineRule="atLeast"/>
    </w:pPr>
    <w:rPr>
      <w:sz w:val="16"/>
      <w:szCs w:val="16"/>
      <w:lang w:val="en-US" w:eastAsia="zh-CN" w:bidi="ar-SA"/>
    </w:rPr>
  </w:style>
  <w:style w:type="paragraph" w:customStyle="1" w:styleId="46">
    <w:name w:val="BodyTextIndent3"/>
    <w:basedOn w:val="1"/>
    <w:qFormat/>
    <w:uiPriority w:val="0"/>
    <w:pPr>
      <w:spacing w:after="120" w:line="360" w:lineRule="atLeast"/>
      <w:ind w:left="200" w:leftChars="200"/>
    </w:pPr>
    <w:rPr>
      <w:sz w:val="16"/>
      <w:szCs w:val="16"/>
      <w:lang w:val="en-US" w:eastAsia="zh-CN" w:bidi="ar-SA"/>
    </w:rPr>
  </w:style>
  <w:style w:type="paragraph" w:customStyle="1" w:styleId="47">
    <w:name w:val="TOC3"/>
    <w:basedOn w:val="1"/>
    <w:next w:val="1"/>
    <w:qFormat/>
    <w:uiPriority w:val="0"/>
    <w:pPr>
      <w:spacing w:line="240" w:lineRule="auto"/>
      <w:ind w:left="420"/>
    </w:pPr>
    <w:rPr>
      <w:i/>
      <w:iCs/>
      <w:kern w:val="2"/>
      <w:sz w:val="21"/>
      <w:szCs w:val="24"/>
      <w:lang w:val="en-US" w:eastAsia="zh-CN" w:bidi="ar-SA"/>
    </w:rPr>
  </w:style>
  <w:style w:type="paragraph" w:customStyle="1" w:styleId="48">
    <w:name w:val="TOC5"/>
    <w:basedOn w:val="1"/>
    <w:next w:val="1"/>
    <w:qFormat/>
    <w:uiPriority w:val="0"/>
    <w:pPr>
      <w:spacing w:line="240" w:lineRule="auto"/>
      <w:ind w:left="840"/>
    </w:pPr>
    <w:rPr>
      <w:kern w:val="2"/>
      <w:sz w:val="21"/>
      <w:szCs w:val="21"/>
      <w:lang w:val="en-US" w:eastAsia="zh-CN" w:bidi="ar-SA"/>
    </w:rPr>
  </w:style>
  <w:style w:type="paragraph" w:customStyle="1" w:styleId="49">
    <w:name w:val="NormalIndent"/>
    <w:basedOn w:val="1"/>
    <w:qFormat/>
    <w:uiPriority w:val="0"/>
    <w:pPr>
      <w:spacing w:line="360" w:lineRule="atLeast"/>
      <w:ind w:firstLine="200" w:firstLineChars="200"/>
    </w:pPr>
  </w:style>
  <w:style w:type="paragraph" w:customStyle="1" w:styleId="50">
    <w:name w:val="TOC7"/>
    <w:basedOn w:val="1"/>
    <w:next w:val="1"/>
    <w:qFormat/>
    <w:uiPriority w:val="0"/>
    <w:pPr>
      <w:spacing w:line="240" w:lineRule="auto"/>
      <w:ind w:left="1260"/>
    </w:pPr>
    <w:rPr>
      <w:kern w:val="2"/>
      <w:sz w:val="21"/>
      <w:szCs w:val="21"/>
      <w:lang w:val="en-US" w:eastAsia="zh-CN" w:bidi="ar-SA"/>
    </w:rPr>
  </w:style>
  <w:style w:type="paragraph" w:customStyle="1" w:styleId="51">
    <w:name w:val="Index1"/>
    <w:basedOn w:val="1"/>
    <w:next w:val="1"/>
    <w:qFormat/>
    <w:uiPriority w:val="0"/>
    <w:pPr>
      <w:widowControl/>
      <w:spacing w:line="240" w:lineRule="auto"/>
    </w:pPr>
    <w:rPr>
      <w:rFonts w:ascii="宋体"/>
      <w:sz w:val="21"/>
      <w:lang w:val="en-US" w:eastAsia="zh-CN" w:bidi="ar-SA"/>
    </w:rPr>
  </w:style>
  <w:style w:type="paragraph" w:customStyle="1" w:styleId="52">
    <w:name w:val="TOC6"/>
    <w:basedOn w:val="1"/>
    <w:next w:val="1"/>
    <w:qFormat/>
    <w:uiPriority w:val="0"/>
    <w:pPr>
      <w:spacing w:line="240" w:lineRule="auto"/>
      <w:ind w:left="1050"/>
    </w:pPr>
    <w:rPr>
      <w:kern w:val="2"/>
      <w:sz w:val="21"/>
      <w:szCs w:val="21"/>
      <w:lang w:val="en-US" w:eastAsia="zh-CN" w:bidi="ar-SA"/>
    </w:rPr>
  </w:style>
  <w:style w:type="paragraph" w:customStyle="1" w:styleId="53">
    <w:name w:val="TOC4"/>
    <w:basedOn w:val="1"/>
    <w:next w:val="1"/>
    <w:qFormat/>
    <w:uiPriority w:val="0"/>
    <w:pPr>
      <w:spacing w:line="240" w:lineRule="auto"/>
      <w:ind w:left="630"/>
    </w:pPr>
    <w:rPr>
      <w:kern w:val="2"/>
      <w:sz w:val="21"/>
      <w:szCs w:val="21"/>
      <w:lang w:val="en-US" w:eastAsia="zh-CN" w:bidi="ar-SA"/>
    </w:rPr>
  </w:style>
  <w:style w:type="paragraph" w:customStyle="1" w:styleId="54">
    <w:name w:val="UserStyle_7"/>
    <w:basedOn w:val="1"/>
    <w:uiPriority w:val="0"/>
    <w:pPr>
      <w:tabs>
        <w:tab w:val="right" w:pos="1021"/>
        <w:tab w:val="bar" w:pos="1202"/>
      </w:tabs>
      <w:spacing w:after="120" w:line="326" w:lineRule="atLeast"/>
      <w:ind w:left="1202" w:hanging="1202"/>
      <w:jc w:val="both"/>
    </w:pPr>
    <w:rPr>
      <w:rFonts w:eastAsia="MS Mincho"/>
      <w:sz w:val="19"/>
      <w:szCs w:val="20"/>
      <w:lang w:val="en-US" w:eastAsia="ja-JP" w:bidi="ar-SA"/>
    </w:rPr>
  </w:style>
  <w:style w:type="paragraph" w:customStyle="1" w:styleId="55">
    <w:name w:val="UserStyle_8"/>
    <w:uiPriority w:val="0"/>
    <w:pPr>
      <w:widowControl/>
      <w:spacing w:line="240" w:lineRule="auto"/>
    </w:pPr>
    <w:rPr>
      <w:rFonts w:ascii="Tahoma" w:hAnsi="Tahoma" w:eastAsia="楷体" w:cs="Times New Roman"/>
      <w:sz w:val="22"/>
      <w:lang w:val="en-US" w:eastAsia="zh-CN" w:bidi="ar-SA"/>
    </w:rPr>
  </w:style>
  <w:style w:type="paragraph" w:customStyle="1" w:styleId="56">
    <w:name w:val="UserStyle_9"/>
    <w:basedOn w:val="55"/>
    <w:uiPriority w:val="0"/>
    <w:pPr>
      <w:widowControl/>
      <w:numPr>
        <w:ilvl w:val="0"/>
        <w:numId w:val="2"/>
      </w:numPr>
      <w:tabs>
        <w:tab w:val="center" w:leader="dot" w:pos="2520"/>
      </w:tabs>
      <w:spacing w:after="200" w:line="240" w:lineRule="auto"/>
      <w:ind w:left="2520"/>
    </w:pPr>
  </w:style>
  <w:style w:type="paragraph" w:customStyle="1" w:styleId="57">
    <w:name w:val="UserStyle_10"/>
    <w:basedOn w:val="1"/>
    <w:qFormat/>
    <w:uiPriority w:val="0"/>
    <w:pPr>
      <w:widowControl/>
      <w:spacing w:line="240" w:lineRule="auto"/>
    </w:pPr>
    <w:rPr>
      <w:rFonts w:eastAsia="仿宋_GB2312"/>
      <w:sz w:val="24"/>
      <w:lang w:val="en-GB" w:eastAsia="en-GB" w:bidi="ar-SA"/>
    </w:rPr>
  </w:style>
  <w:style w:type="paragraph" w:customStyle="1" w:styleId="58">
    <w:name w:val="UserStyle_11"/>
    <w:basedOn w:val="1"/>
    <w:qFormat/>
    <w:uiPriority w:val="0"/>
    <w:pPr>
      <w:spacing w:line="240" w:lineRule="auto"/>
    </w:pPr>
    <w:rPr>
      <w:rFonts w:ascii="宋体"/>
      <w:sz w:val="21"/>
      <w:lang w:val="en-US" w:eastAsia="zh-CN" w:bidi="ar-SA"/>
    </w:rPr>
  </w:style>
  <w:style w:type="paragraph" w:customStyle="1" w:styleId="59">
    <w:name w:val="UserStyle_12"/>
    <w:basedOn w:val="60"/>
    <w:qFormat/>
    <w:uiPriority w:val="0"/>
    <w:pPr>
      <w:keepNext/>
      <w:keepLines/>
      <w:numPr>
        <w:ilvl w:val="1"/>
        <w:numId w:val="1"/>
      </w:numPr>
      <w:tabs>
        <w:tab w:val="left" w:pos="0"/>
      </w:tabs>
      <w:spacing w:before="120" w:after="0" w:line="240" w:lineRule="auto"/>
    </w:pPr>
    <w:rPr>
      <w:rFonts w:ascii="宋体" w:hAnsi="Arial" w:eastAsia="宋体"/>
      <w:color w:val="000000"/>
      <w:sz w:val="21"/>
      <w:szCs w:val="20"/>
      <w:lang w:val="en-US" w:eastAsia="zh-CN" w:bidi="ar-SA"/>
    </w:rPr>
  </w:style>
  <w:style w:type="paragraph" w:customStyle="1" w:styleId="60">
    <w:name w:val="UserStyle_13"/>
    <w:basedOn w:val="12"/>
    <w:qFormat/>
    <w:uiPriority w:val="0"/>
    <w:pPr>
      <w:keepNext/>
      <w:keepLines/>
      <w:numPr>
        <w:ilvl w:val="1"/>
        <w:numId w:val="1"/>
      </w:numPr>
      <w:spacing w:before="260" w:after="260" w:line="416" w:lineRule="atLeast"/>
    </w:pPr>
    <w:rPr>
      <w:rFonts w:ascii="宋体" w:hAnsi="Arial" w:eastAsia="宋体"/>
      <w:color w:val="000000"/>
      <w:sz w:val="21"/>
      <w:szCs w:val="32"/>
      <w:lang w:val="en-US" w:eastAsia="zh-CN" w:bidi="ar-SA"/>
    </w:rPr>
  </w:style>
  <w:style w:type="paragraph" w:customStyle="1" w:styleId="61">
    <w:name w:val="UserStyle_14"/>
    <w:basedOn w:val="1"/>
    <w:qFormat/>
    <w:uiPriority w:val="0"/>
    <w:pPr>
      <w:widowControl/>
      <w:spacing w:line="360" w:lineRule="auto"/>
      <w:ind w:firstLine="720"/>
      <w:jc w:val="both"/>
    </w:pPr>
    <w:rPr>
      <w:rFonts w:ascii="宋体" w:hAnsi="宋体" w:eastAsia="仿宋_GB2312"/>
      <w:sz w:val="28"/>
      <w:lang w:bidi="ar-SA"/>
    </w:rPr>
  </w:style>
  <w:style w:type="paragraph" w:customStyle="1" w:styleId="62">
    <w:name w:val="UserStyle_15"/>
    <w:basedOn w:val="1"/>
    <w:qFormat/>
    <w:uiPriority w:val="0"/>
    <w:pPr>
      <w:tabs>
        <w:tab w:val="decimal" w:pos="839"/>
        <w:tab w:val="left" w:pos="1021"/>
        <w:tab w:val="center" w:leader="hyphen" w:pos="4536"/>
      </w:tabs>
      <w:spacing w:after="80" w:line="326" w:lineRule="atLeast"/>
      <w:ind w:left="1021" w:hanging="1021"/>
      <w:jc w:val="both"/>
    </w:pPr>
    <w:rPr>
      <w:rFonts w:eastAsia="MS Mincho"/>
      <w:sz w:val="19"/>
      <w:szCs w:val="20"/>
      <w:lang w:val="en-US" w:eastAsia="ja-JP" w:bidi="ar-SA"/>
    </w:rPr>
  </w:style>
  <w:style w:type="paragraph" w:customStyle="1" w:styleId="63">
    <w:name w:val="UserStyle_16"/>
    <w:basedOn w:val="1"/>
    <w:qFormat/>
    <w:uiPriority w:val="0"/>
    <w:pPr>
      <w:spacing w:line="360" w:lineRule="atLeast"/>
    </w:pPr>
  </w:style>
  <w:style w:type="paragraph" w:customStyle="1" w:styleId="64">
    <w:name w:val="UserStyle_17"/>
    <w:basedOn w:val="1"/>
    <w:qFormat/>
    <w:uiPriority w:val="0"/>
    <w:pPr>
      <w:spacing w:line="240" w:lineRule="auto"/>
      <w:jc w:val="both"/>
    </w:pPr>
    <w:rPr>
      <w:rFonts w:ascii="宋体"/>
      <w:sz w:val="21"/>
      <w:lang w:val="en-US" w:eastAsia="zh-CN" w:bidi="ar-SA"/>
    </w:rPr>
  </w:style>
  <w:style w:type="paragraph" w:customStyle="1" w:styleId="65">
    <w:name w:val="UserStyle_18"/>
    <w:basedOn w:val="1"/>
    <w:next w:val="1"/>
    <w:qFormat/>
    <w:uiPriority w:val="0"/>
    <w:pPr>
      <w:spacing w:line="360" w:lineRule="atLeast"/>
    </w:pPr>
  </w:style>
  <w:style w:type="paragraph" w:customStyle="1" w:styleId="66">
    <w:name w:val="188"/>
    <w:basedOn w:val="1"/>
    <w:next w:val="34"/>
    <w:qFormat/>
    <w:uiPriority w:val="0"/>
    <w:pPr>
      <w:spacing w:line="360" w:lineRule="atLeast"/>
      <w:ind w:firstLine="200" w:firstLineChars="200"/>
      <w:jc w:val="both"/>
    </w:pPr>
    <w:rPr>
      <w:rFonts w:ascii="Calibri" w:hAnsi="Calibri" w:eastAsia="宋体"/>
      <w:kern w:val="2"/>
      <w:sz w:val="21"/>
      <w:lang w:val="en-US" w:eastAsia="zh-CN" w:bidi="ar-SA"/>
    </w:rPr>
  </w:style>
  <w:style w:type="paragraph" w:customStyle="1" w:styleId="67">
    <w:name w:val="UserStyle_19"/>
    <w:next w:val="1"/>
    <w:qFormat/>
    <w:uiPriority w:val="0"/>
    <w:pPr>
      <w:spacing w:line="240" w:lineRule="auto"/>
      <w:ind w:firstLine="200" w:firstLineChars="200"/>
      <w:jc w:val="both"/>
    </w:pPr>
    <w:rPr>
      <w:rFonts w:ascii="Times New Roman" w:hAnsi="Times New Roman" w:eastAsia="楷体" w:cs="Times New Roman"/>
      <w:kern w:val="2"/>
      <w:sz w:val="21"/>
      <w:szCs w:val="22"/>
      <w:lang w:val="en-US" w:eastAsia="zh-CN" w:bidi="ar-SA"/>
    </w:rPr>
  </w:style>
  <w:style w:type="paragraph" w:customStyle="1" w:styleId="68">
    <w:name w:val="UserStyle_20"/>
    <w:basedOn w:val="69"/>
    <w:qFormat/>
    <w:uiPriority w:val="0"/>
    <w:pPr>
      <w:widowControl/>
      <w:numPr>
        <w:ilvl w:val="0"/>
        <w:numId w:val="3"/>
      </w:numPr>
      <w:spacing w:before="240" w:line="240" w:lineRule="auto"/>
      <w:ind w:left="1800"/>
    </w:pPr>
  </w:style>
  <w:style w:type="paragraph" w:customStyle="1" w:styleId="69">
    <w:name w:val="UserStyle_21"/>
    <w:basedOn w:val="55"/>
    <w:uiPriority w:val="0"/>
    <w:pPr>
      <w:widowControl/>
      <w:spacing w:before="240" w:line="240" w:lineRule="auto"/>
      <w:ind w:left="720"/>
    </w:pPr>
  </w:style>
  <w:style w:type="paragraph" w:customStyle="1" w:styleId="70">
    <w:name w:val="UserStyle_22"/>
    <w:basedOn w:val="1"/>
    <w:next w:val="1"/>
    <w:qFormat/>
    <w:uiPriority w:val="0"/>
    <w:pPr>
      <w:spacing w:line="360" w:lineRule="atLeast"/>
    </w:pPr>
  </w:style>
  <w:style w:type="paragraph" w:customStyle="1" w:styleId="71">
    <w:name w:val="UserStyle_23"/>
    <w:next w:val="1"/>
    <w:qFormat/>
    <w:uiPriority w:val="0"/>
    <w:pPr>
      <w:widowControl/>
      <w:spacing w:after="200" w:line="300" w:lineRule="atLeast"/>
    </w:pPr>
    <w:rPr>
      <w:rFonts w:ascii="Times New Roman" w:hAnsi="Times New Roman" w:eastAsia="楷体" w:cs="Times New Roman"/>
      <w:sz w:val="22"/>
      <w:szCs w:val="22"/>
      <w:lang w:val="en-US" w:eastAsia="zh-CN" w:bidi="ar-SA"/>
    </w:rPr>
  </w:style>
  <w:style w:type="paragraph" w:customStyle="1" w:styleId="72">
    <w:name w:val="UserStyle_24"/>
    <w:next w:val="1"/>
    <w:uiPriority w:val="0"/>
    <w:pPr>
      <w:widowControl/>
      <w:spacing w:after="200" w:line="300" w:lineRule="atLeast"/>
    </w:pPr>
    <w:rPr>
      <w:rFonts w:ascii="Times New Roman" w:hAnsi="Times New Roman" w:eastAsia="楷体" w:cs="Times New Roman"/>
      <w:sz w:val="22"/>
      <w:szCs w:val="22"/>
      <w:lang w:val="en-US" w:eastAsia="zh-CN" w:bidi="ar-SA"/>
    </w:rPr>
  </w:style>
  <w:style w:type="paragraph" w:customStyle="1" w:styleId="73">
    <w:name w:val="UserStyle_25"/>
    <w:basedOn w:val="1"/>
    <w:qFormat/>
    <w:uiPriority w:val="0"/>
    <w:pPr>
      <w:spacing w:line="360" w:lineRule="atLeast"/>
      <w:ind w:firstLine="200" w:firstLineChars="200"/>
    </w:pPr>
  </w:style>
  <w:style w:type="paragraph" w:customStyle="1" w:styleId="74">
    <w:name w:val="UserStyle_26"/>
    <w:basedOn w:val="13"/>
    <w:uiPriority w:val="0"/>
    <w:pPr>
      <w:keepNext/>
      <w:keepLines/>
      <w:numPr>
        <w:ilvl w:val="2"/>
        <w:numId w:val="1"/>
      </w:numPr>
      <w:spacing w:before="120" w:after="120" w:line="240" w:lineRule="auto"/>
    </w:pPr>
    <w:rPr>
      <w:rFonts w:cs="宋体"/>
      <w:sz w:val="21"/>
      <w:szCs w:val="20"/>
      <w:lang w:val="en-US" w:eastAsia="zh-CN" w:bidi="ar-SA"/>
    </w:rPr>
  </w:style>
  <w:style w:type="paragraph" w:customStyle="1" w:styleId="75">
    <w:name w:val="UserStyle_27"/>
    <w:basedOn w:val="11"/>
    <w:qFormat/>
    <w:uiPriority w:val="0"/>
    <w:pPr>
      <w:keepNext/>
      <w:keepLines/>
      <w:spacing w:before="240" w:after="240" w:line="240" w:lineRule="auto"/>
      <w:jc w:val="center"/>
    </w:pPr>
    <w:rPr>
      <w:rFonts w:cs="宋体"/>
      <w:kern w:val="44"/>
      <w:sz w:val="28"/>
      <w:szCs w:val="20"/>
      <w:lang w:val="en-US" w:eastAsia="zh-CN" w:bidi="ar-SA"/>
    </w:rPr>
  </w:style>
  <w:style w:type="paragraph" w:customStyle="1" w:styleId="76">
    <w:name w:val="UserStyle_28"/>
    <w:basedOn w:val="1"/>
    <w:qFormat/>
    <w:uiPriority w:val="0"/>
    <w:pPr>
      <w:tabs>
        <w:tab w:val="decimal" w:pos="1021"/>
      </w:tabs>
      <w:spacing w:line="326" w:lineRule="atLeast"/>
      <w:ind w:left="1021" w:hanging="1021"/>
      <w:jc w:val="both"/>
    </w:pPr>
    <w:rPr>
      <w:rFonts w:eastAsia="MS Mincho"/>
      <w:sz w:val="22"/>
      <w:szCs w:val="20"/>
      <w:lang w:val="en-US" w:eastAsia="ja-JP" w:bidi="ar-SA"/>
    </w:rPr>
  </w:style>
  <w:style w:type="paragraph" w:customStyle="1" w:styleId="77">
    <w:name w:val="166"/>
    <w:qFormat/>
    <w:uiPriority w:val="0"/>
    <w:pPr>
      <w:spacing w:line="240" w:lineRule="auto"/>
      <w:jc w:val="both"/>
    </w:pPr>
    <w:rPr>
      <w:rFonts w:ascii="Times New Roman" w:hAnsi="Times New Roman" w:eastAsia="楷体" w:cs="Times New Roman"/>
      <w:kern w:val="2"/>
      <w:sz w:val="21"/>
      <w:szCs w:val="22"/>
      <w:lang w:val="en-US" w:eastAsia="zh-CN" w:bidi="ar-SA"/>
    </w:rPr>
  </w:style>
  <w:style w:type="paragraph" w:customStyle="1" w:styleId="78">
    <w:name w:val="UserStyle_29"/>
    <w:basedOn w:val="12"/>
    <w:qFormat/>
    <w:uiPriority w:val="0"/>
    <w:pPr>
      <w:keepNext/>
      <w:keepLines/>
      <w:numPr>
        <w:ilvl w:val="1"/>
        <w:numId w:val="1"/>
      </w:numPr>
      <w:spacing w:before="260" w:after="260" w:line="240" w:lineRule="auto"/>
    </w:pPr>
    <w:rPr>
      <w:rFonts w:ascii="宋体" w:hAnsi="Arial" w:eastAsia="宋体" w:cs="宋体"/>
      <w:sz w:val="21"/>
      <w:szCs w:val="20"/>
      <w:lang w:val="en-US" w:eastAsia="zh-CN" w:bidi="ar-SA"/>
    </w:rPr>
  </w:style>
  <w:style w:type="paragraph" w:customStyle="1" w:styleId="79">
    <w:name w:val="UserStyle_30"/>
    <w:basedOn w:val="1"/>
    <w:qFormat/>
    <w:uiPriority w:val="0"/>
    <w:pPr>
      <w:widowControl/>
      <w:spacing w:before="100" w:beforeAutospacing="1" w:after="100" w:afterAutospacing="1" w:line="360" w:lineRule="atLeast"/>
      <w:jc w:val="left"/>
    </w:pPr>
    <w:rPr>
      <w:rFonts w:ascii="宋体" w:eastAsia="宋体"/>
      <w:kern w:val="0"/>
      <w:sz w:val="24"/>
      <w:szCs w:val="24"/>
      <w:lang w:val="en-US" w:eastAsia="zh-CN" w:bidi="ar-SA"/>
    </w:rPr>
  </w:style>
  <w:style w:type="paragraph" w:customStyle="1" w:styleId="80">
    <w:name w:val="UserStyle_31"/>
    <w:basedOn w:val="1"/>
    <w:qFormat/>
    <w:uiPriority w:val="0"/>
    <w:pPr>
      <w:numPr>
        <w:ilvl w:val="0"/>
        <w:numId w:val="4"/>
      </w:numPr>
      <w:tabs>
        <w:tab w:val="decimal" w:leader="hyphen" w:pos="709"/>
        <w:tab w:val="decimal" w:pos="851"/>
      </w:tabs>
      <w:spacing w:line="240" w:lineRule="auto"/>
      <w:jc w:val="both"/>
    </w:pPr>
    <w:rPr>
      <w:rFonts w:ascii="宋体"/>
      <w:sz w:val="21"/>
      <w:szCs w:val="21"/>
      <w:lang w:val="en-US" w:eastAsia="zh-CN" w:bidi="ar-SA"/>
    </w:rPr>
  </w:style>
  <w:style w:type="paragraph" w:customStyle="1" w:styleId="81">
    <w:name w:val="UserStyle_32"/>
    <w:basedOn w:val="59"/>
    <w:qFormat/>
    <w:uiPriority w:val="0"/>
    <w:pPr>
      <w:keepNext/>
      <w:keepLines/>
      <w:numPr>
        <w:ilvl w:val="1"/>
        <w:numId w:val="1"/>
      </w:numPr>
      <w:spacing w:before="240" w:after="0" w:line="240" w:lineRule="auto"/>
    </w:pPr>
  </w:style>
  <w:style w:type="paragraph" w:customStyle="1" w:styleId="82">
    <w:name w:val="UserStyle_33"/>
    <w:next w:val="1"/>
    <w:qFormat/>
    <w:uiPriority w:val="0"/>
    <w:pPr>
      <w:spacing w:line="240" w:lineRule="auto"/>
      <w:ind w:firstLine="200" w:firstLineChars="200"/>
      <w:jc w:val="both"/>
    </w:pPr>
    <w:rPr>
      <w:rFonts w:ascii="Times New Roman" w:hAnsi="Times New Roman" w:eastAsia="楷体" w:cs="Times New Roman"/>
      <w:kern w:val="2"/>
      <w:sz w:val="21"/>
      <w:szCs w:val="22"/>
      <w:lang w:val="en-US" w:eastAsia="zh-CN" w:bidi="ar-SA"/>
    </w:rPr>
  </w:style>
  <w:style w:type="paragraph" w:customStyle="1" w:styleId="83">
    <w:name w:val="UserStyle_34"/>
    <w:basedOn w:val="14"/>
    <w:qFormat/>
    <w:uiPriority w:val="0"/>
    <w:pPr>
      <w:keepNext/>
      <w:keepLines/>
      <w:numPr>
        <w:ilvl w:val="3"/>
        <w:numId w:val="1"/>
      </w:numPr>
      <w:spacing w:before="100" w:after="100" w:line="240" w:lineRule="auto"/>
    </w:pPr>
    <w:rPr>
      <w:rFonts w:ascii="Arial" w:hAnsi="Arial" w:eastAsia="黑体" w:cs="宋体"/>
      <w:sz w:val="28"/>
      <w:szCs w:val="20"/>
      <w:lang w:val="en-US" w:eastAsia="zh-CN" w:bidi="ar-SA"/>
    </w:rPr>
  </w:style>
  <w:style w:type="paragraph" w:customStyle="1" w:styleId="84">
    <w:name w:val="UserStyle_35"/>
    <w:basedOn w:val="36"/>
    <w:qFormat/>
    <w:uiPriority w:val="0"/>
    <w:pPr>
      <w:spacing w:after="120" w:line="360" w:lineRule="auto"/>
      <w:jc w:val="both"/>
    </w:pPr>
    <w:rPr>
      <w:rFonts w:ascii="宋体"/>
      <w:kern w:val="2"/>
      <w:sz w:val="21"/>
      <w:szCs w:val="24"/>
      <w:lang w:val="en-US" w:eastAsia="zh-CN" w:bidi="ar-SA"/>
    </w:rPr>
  </w:style>
  <w:style w:type="paragraph" w:customStyle="1" w:styleId="85">
    <w:name w:val="UserStyle_36"/>
    <w:basedOn w:val="86"/>
    <w:qFormat/>
    <w:uiPriority w:val="0"/>
    <w:pPr>
      <w:keepNext/>
      <w:keepLines/>
      <w:numPr>
        <w:ilvl w:val="4"/>
        <w:numId w:val="1"/>
      </w:numPr>
      <w:tabs>
        <w:tab w:val="left" w:pos="0"/>
      </w:tabs>
      <w:spacing w:before="100" w:after="100" w:line="240" w:lineRule="auto"/>
    </w:pPr>
    <w:rPr>
      <w:rFonts w:cs="宋体"/>
      <w:sz w:val="21"/>
      <w:szCs w:val="20"/>
      <w:lang w:val="en-US" w:eastAsia="zh-CN" w:bidi="ar-SA"/>
    </w:rPr>
  </w:style>
  <w:style w:type="paragraph" w:customStyle="1" w:styleId="86">
    <w:name w:val="UserStyle_37"/>
    <w:basedOn w:val="15"/>
    <w:qFormat/>
    <w:uiPriority w:val="0"/>
    <w:pPr>
      <w:keepNext/>
      <w:keepLines/>
      <w:numPr>
        <w:ilvl w:val="4"/>
        <w:numId w:val="1"/>
      </w:numPr>
      <w:spacing w:before="100" w:after="100" w:line="240" w:lineRule="auto"/>
    </w:pPr>
    <w:rPr>
      <w:rFonts w:cs="宋体"/>
      <w:sz w:val="28"/>
      <w:szCs w:val="20"/>
      <w:lang w:val="en-US" w:eastAsia="zh-CN" w:bidi="ar-SA"/>
    </w:rPr>
  </w:style>
  <w:style w:type="paragraph" w:customStyle="1" w:styleId="87">
    <w:name w:val="UserStyle_38"/>
    <w:basedOn w:val="81"/>
    <w:qFormat/>
    <w:uiPriority w:val="0"/>
    <w:pPr>
      <w:keepNext/>
      <w:keepLines/>
      <w:numPr>
        <w:ilvl w:val="1"/>
        <w:numId w:val="1"/>
      </w:numPr>
      <w:spacing w:before="240" w:after="0" w:line="240" w:lineRule="auto"/>
    </w:pPr>
    <w:rPr>
      <w:rFonts w:cs="Times New Roman"/>
    </w:rPr>
  </w:style>
  <w:style w:type="paragraph" w:customStyle="1" w:styleId="88">
    <w:name w:val="UserStyle_39"/>
    <w:basedOn w:val="83"/>
    <w:qFormat/>
    <w:uiPriority w:val="0"/>
    <w:pPr>
      <w:keepNext/>
      <w:keepLines/>
      <w:numPr>
        <w:ilvl w:val="3"/>
        <w:numId w:val="1"/>
      </w:numPr>
      <w:spacing w:before="100" w:after="100" w:line="240" w:lineRule="auto"/>
    </w:pPr>
    <w:rPr>
      <w:rFonts w:ascii="Arial" w:hAnsi="Arial" w:eastAsia="黑体" w:cs="宋体"/>
      <w:sz w:val="21"/>
      <w:szCs w:val="20"/>
      <w:lang w:val="en-US" w:eastAsia="zh-CN" w:bidi="ar-SA"/>
    </w:rPr>
  </w:style>
  <w:style w:type="paragraph" w:customStyle="1" w:styleId="89">
    <w:name w:val="UserStyle_40"/>
    <w:basedOn w:val="1"/>
    <w:qFormat/>
    <w:uiPriority w:val="0"/>
    <w:pPr>
      <w:spacing w:line="240" w:lineRule="auto"/>
      <w:jc w:val="both"/>
    </w:pPr>
  </w:style>
  <w:style w:type="paragraph" w:customStyle="1" w:styleId="90">
    <w:name w:val="UserStyle_41"/>
    <w:basedOn w:val="1"/>
    <w:qFormat/>
    <w:uiPriority w:val="0"/>
    <w:pPr>
      <w:spacing w:before="240" w:line="400" w:lineRule="exact"/>
      <w:ind w:firstLine="357"/>
      <w:jc w:val="both"/>
    </w:pPr>
    <w:rPr>
      <w:kern w:val="2"/>
      <w:sz w:val="28"/>
      <w:lang w:val="en-US" w:eastAsia="zh-CN" w:bidi="ar-SA"/>
    </w:rPr>
  </w:style>
  <w:style w:type="paragraph" w:customStyle="1" w:styleId="91">
    <w:name w:val="UserStyle_42"/>
    <w:basedOn w:val="1"/>
    <w:qFormat/>
    <w:uiPriority w:val="0"/>
    <w:pPr>
      <w:numPr>
        <w:ilvl w:val="1"/>
        <w:numId w:val="5"/>
      </w:numPr>
      <w:tabs>
        <w:tab w:val="right" w:pos="567"/>
      </w:tabs>
      <w:spacing w:line="240" w:lineRule="auto"/>
      <w:jc w:val="both"/>
    </w:pPr>
    <w:rPr>
      <w:rFonts w:ascii="宋体"/>
      <w:sz w:val="21"/>
      <w:szCs w:val="21"/>
      <w:lang w:val="en-US" w:eastAsia="zh-CN" w:bidi="ar-SA"/>
    </w:rPr>
  </w:style>
  <w:style w:type="paragraph" w:customStyle="1" w:styleId="92">
    <w:name w:val="UserStyle_43"/>
    <w:basedOn w:val="1"/>
    <w:qFormat/>
    <w:uiPriority w:val="0"/>
    <w:pPr>
      <w:spacing w:line="240" w:lineRule="auto"/>
      <w:ind w:left="720" w:hanging="720"/>
      <w:jc w:val="both"/>
    </w:pPr>
    <w:rPr>
      <w:b/>
      <w:kern w:val="2"/>
      <w:sz w:val="28"/>
      <w:lang w:val="en-US" w:eastAsia="zh-CN" w:bidi="ar-SA"/>
    </w:rPr>
  </w:style>
  <w:style w:type="paragraph" w:customStyle="1" w:styleId="93">
    <w:name w:val="UserStyle_44"/>
    <w:basedOn w:val="1"/>
    <w:qFormat/>
    <w:uiPriority w:val="0"/>
    <w:pPr>
      <w:spacing w:line="240" w:lineRule="auto"/>
      <w:jc w:val="both"/>
    </w:pPr>
    <w:rPr>
      <w:rFonts w:ascii="宋体"/>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2019-05-29T07:04:00Z</dcterms:created>
  <dc:creator>pku</dc:creator>
  <cp:lastModifiedBy>凌思凯</cp:lastModifiedBy>
  <cp:lastPrinted>2019-05-29T08:11:57Z</cp:lastPrinted>
  <dcterms:modified xsi:type="dcterms:W3CDTF">2019-05-29T08:14:13Z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