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CD" w:rsidRDefault="00575DCD" w:rsidP="00575DC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附件1：</w:t>
      </w:r>
    </w:p>
    <w:p w:rsidR="00575DCD" w:rsidRDefault="00575DCD" w:rsidP="00575DC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Cs/>
          <w:color w:val="000000"/>
          <w:kern w:val="0"/>
          <w:sz w:val="24"/>
          <w:szCs w:val="24"/>
        </w:rPr>
        <w:t>北京大学20</w:t>
      </w:r>
      <w:r>
        <w:rPr>
          <w:rFonts w:ascii="宋体" w:eastAsia="宋体" w:hAnsi="宋体" w:cs="Arial"/>
          <w:bCs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Arial" w:hint="eastAsia"/>
          <w:bCs/>
          <w:color w:val="000000"/>
          <w:kern w:val="0"/>
          <w:sz w:val="24"/>
          <w:szCs w:val="24"/>
        </w:rPr>
        <w:t>年竞价采购目录</w:t>
      </w:r>
    </w:p>
    <w:p w:rsidR="00575DCD" w:rsidRDefault="00575DCD" w:rsidP="00575DC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本目录参照《中央预算单位2017—2018年政府集中采购目录及标准》的规定，结合学校实际情况制定。目录会依据国家及学校相关政策按期更新。</w:t>
      </w:r>
    </w:p>
    <w:p w:rsidR="00575DCD" w:rsidRDefault="00575DCD" w:rsidP="00575DCD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 </w:t>
      </w:r>
    </w:p>
    <w:tbl>
      <w:tblPr>
        <w:tblW w:w="719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549"/>
        <w:gridCol w:w="3688"/>
      </w:tblGrid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  <w:t>目录项目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台式计算机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包括台式计算机主机、台式计算机显示器，不包括图形工作站</w:t>
            </w: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便携式计算机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包括笔记本电脑、平板电脑，不包括移动工作站</w:t>
            </w: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tabs>
                <w:tab w:val="left" w:pos="42"/>
              </w:tabs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计算机网络设备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指网络交换机、网络路由器、网络存储设备、</w:t>
            </w:r>
            <w:r w:rsidRPr="00BE081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网络安全产品</w:t>
            </w: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不包括印刷机</w:t>
            </w: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多功能一体机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指喷墨打印机、激光打印机、热式打印机，不包括针式打印机和条码专用打印机</w:t>
            </w: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扫描仪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指平板式扫描仪、高速文档扫描仪、书刊扫描仪和胶片扫描仪，不包括档案、工程专用的大幅面扫描仪</w:t>
            </w: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75DCD" w:rsidTr="00D46BAE">
        <w:trPr>
          <w:tblCellSpacing w:w="0" w:type="dxa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空调机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575DCD" w:rsidRDefault="00575DCD" w:rsidP="00D46BAE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指除中央空调（包括冷水机组、溴化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锂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吸收式冷水机组、水源热泵机组等）、多联式空调（指由一台或多台室外机与多台室内机组成的空调机组）以外的空调</w:t>
            </w:r>
          </w:p>
        </w:tc>
      </w:tr>
    </w:tbl>
    <w:p w:rsidR="00575DCD" w:rsidRDefault="00575DCD" w:rsidP="00575DCD">
      <w:pPr>
        <w:spacing w:line="360" w:lineRule="auto"/>
        <w:jc w:val="center"/>
      </w:pPr>
    </w:p>
    <w:p w:rsidR="00495B8A" w:rsidRPr="00575DCD" w:rsidRDefault="00495B8A">
      <w:bookmarkStart w:id="0" w:name="_GoBack"/>
      <w:bookmarkEnd w:id="0"/>
    </w:p>
    <w:sectPr w:rsidR="00495B8A" w:rsidRPr="0057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CD"/>
    <w:rsid w:val="00495B8A"/>
    <w:rsid w:val="005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2020-02-26T09:06:00Z</dcterms:created>
  <dcterms:modified xsi:type="dcterms:W3CDTF">2020-02-26T09:07:00Z</dcterms:modified>
</cp:coreProperties>
</file>